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01" w:rsidRPr="00BA4A29" w:rsidRDefault="00014201" w:rsidP="00BA4A29">
      <w:pPr>
        <w:pStyle w:val="StandardWeb"/>
        <w:spacing w:line="360" w:lineRule="auto"/>
        <w:jc w:val="both"/>
        <w:rPr>
          <w:rStyle w:val="Fett"/>
          <w:u w:val="single"/>
        </w:rPr>
      </w:pPr>
      <w:r w:rsidRPr="00BA4A29">
        <w:rPr>
          <w:rStyle w:val="Fett"/>
          <w:u w:val="single"/>
        </w:rPr>
        <w:t>Selbständige Veröffentlichungen</w:t>
      </w:r>
    </w:p>
    <w:p w:rsidR="00014201" w:rsidRPr="00BA4A29" w:rsidRDefault="00014201" w:rsidP="00BA4A29">
      <w:pPr>
        <w:pStyle w:val="StandardWeb"/>
        <w:jc w:val="both"/>
        <w:rPr>
          <w:rStyle w:val="Fett"/>
        </w:rPr>
      </w:pPr>
      <w:r w:rsidRPr="00BA4A29">
        <w:rPr>
          <w:rStyle w:val="Fett"/>
        </w:rPr>
        <w:t>Die Drittwirkung der gewerkschaftlichen Koalitionsfreiheit gemäß Art. 9 Abs. 3 S. 1 GG auf das Hausrecht des Arbeitgebers,</w:t>
      </w:r>
    </w:p>
    <w:p w:rsidR="00014201" w:rsidRPr="00BA4A29" w:rsidRDefault="00BC29F5" w:rsidP="00BA4A29">
      <w:pPr>
        <w:pStyle w:val="StandardWeb"/>
        <w:jc w:val="both"/>
        <w:rPr>
          <w:rStyle w:val="Fett"/>
          <w:b w:val="0"/>
        </w:rPr>
      </w:pPr>
      <w:proofErr w:type="spellStart"/>
      <w:r w:rsidRPr="00BA4A29">
        <w:rPr>
          <w:rStyle w:val="Fett"/>
          <w:b w:val="0"/>
        </w:rPr>
        <w:t>Zugl</w:t>
      </w:r>
      <w:proofErr w:type="spellEnd"/>
      <w:r w:rsidRPr="00BA4A29">
        <w:rPr>
          <w:rStyle w:val="Fett"/>
          <w:b w:val="0"/>
        </w:rPr>
        <w:t xml:space="preserve">.: </w:t>
      </w:r>
      <w:r w:rsidR="009F24F0" w:rsidRPr="00BA4A29">
        <w:rPr>
          <w:rStyle w:val="Fett"/>
          <w:b w:val="0"/>
        </w:rPr>
        <w:t xml:space="preserve">Trier, </w:t>
      </w:r>
      <w:r w:rsidRPr="00BA4A29">
        <w:rPr>
          <w:rStyle w:val="Fett"/>
          <w:b w:val="0"/>
        </w:rPr>
        <w:t>Univ.</w:t>
      </w:r>
      <w:r w:rsidR="009F24F0" w:rsidRPr="00BA4A29">
        <w:rPr>
          <w:rStyle w:val="Fett"/>
          <w:b w:val="0"/>
        </w:rPr>
        <w:t xml:space="preserve">, </w:t>
      </w:r>
      <w:proofErr w:type="spellStart"/>
      <w:r w:rsidRPr="00BA4A29">
        <w:rPr>
          <w:rStyle w:val="Fett"/>
          <w:b w:val="0"/>
        </w:rPr>
        <w:t>Diss</w:t>
      </w:r>
      <w:proofErr w:type="spellEnd"/>
      <w:r w:rsidRPr="00BA4A29">
        <w:rPr>
          <w:rStyle w:val="Fett"/>
          <w:b w:val="0"/>
        </w:rPr>
        <w:t xml:space="preserve">., 331 Seiten, Nomos-Verlag, </w:t>
      </w:r>
      <w:r w:rsidR="00014201" w:rsidRPr="00BA4A29">
        <w:rPr>
          <w:rStyle w:val="Fett"/>
          <w:b w:val="0"/>
        </w:rPr>
        <w:t>Baden-Baden</w:t>
      </w:r>
      <w:r w:rsidRPr="00BA4A29">
        <w:rPr>
          <w:rStyle w:val="Fett"/>
          <w:b w:val="0"/>
        </w:rPr>
        <w:t xml:space="preserve"> 2021 (Schriften zum Arbeits- und Sozialrecht, Bd. 167).</w:t>
      </w:r>
    </w:p>
    <w:p w:rsidR="00014201" w:rsidRPr="00BA4A29" w:rsidRDefault="00014201" w:rsidP="00BA4A29">
      <w:pPr>
        <w:pStyle w:val="StandardWeb"/>
        <w:spacing w:line="360" w:lineRule="auto"/>
        <w:jc w:val="both"/>
        <w:rPr>
          <w:rStyle w:val="Fett"/>
          <w:u w:val="single"/>
        </w:rPr>
      </w:pPr>
      <w:bookmarkStart w:id="0" w:name="_GoBack"/>
      <w:bookmarkEnd w:id="0"/>
    </w:p>
    <w:p w:rsidR="00014201" w:rsidRPr="00BA4A29" w:rsidRDefault="00014201" w:rsidP="00BA4A29">
      <w:pPr>
        <w:pStyle w:val="StandardWeb"/>
        <w:spacing w:line="360" w:lineRule="auto"/>
        <w:jc w:val="both"/>
        <w:rPr>
          <w:rStyle w:val="Fett"/>
          <w:u w:val="single"/>
        </w:rPr>
      </w:pPr>
      <w:r w:rsidRPr="00BA4A29">
        <w:rPr>
          <w:rStyle w:val="Fett"/>
          <w:u w:val="single"/>
        </w:rPr>
        <w:t>Aufsätze</w:t>
      </w:r>
    </w:p>
    <w:p w:rsidR="00014201" w:rsidRPr="00BA4A29" w:rsidRDefault="00014201" w:rsidP="00BA4A29">
      <w:pPr>
        <w:pStyle w:val="StandardWeb"/>
        <w:jc w:val="both"/>
        <w:rPr>
          <w:rStyle w:val="Fett"/>
        </w:rPr>
      </w:pPr>
      <w:r w:rsidRPr="00BA4A29">
        <w:rPr>
          <w:rStyle w:val="Fett"/>
        </w:rPr>
        <w:t>Drittwirkung staatsbürgerlicher Rechte und Pflichten im Individualarbeitsrecht,</w:t>
      </w:r>
    </w:p>
    <w:p w:rsidR="00014201" w:rsidRPr="00BA4A29" w:rsidRDefault="00014201" w:rsidP="00BA4A29">
      <w:pPr>
        <w:pStyle w:val="StandardWeb"/>
        <w:jc w:val="both"/>
        <w:rPr>
          <w:rStyle w:val="Fett"/>
          <w:b w:val="0"/>
        </w:rPr>
      </w:pPr>
      <w:r w:rsidRPr="00BA4A29">
        <w:rPr>
          <w:rStyle w:val="Fett"/>
          <w:b w:val="0"/>
        </w:rPr>
        <w:t xml:space="preserve">erscheint in: Vierteljahresschrift für </w:t>
      </w:r>
      <w:r w:rsidR="00BA4A29">
        <w:rPr>
          <w:rStyle w:val="Fett"/>
          <w:b w:val="0"/>
        </w:rPr>
        <w:t>Sozial- und Arbeitsrecht</w:t>
      </w:r>
      <w:r w:rsidRPr="00BA4A29">
        <w:rPr>
          <w:rStyle w:val="Fett"/>
          <w:b w:val="0"/>
        </w:rPr>
        <w:t xml:space="preserve"> (VSSAR) (mit Thomas </w:t>
      </w:r>
      <w:proofErr w:type="spellStart"/>
      <w:r w:rsidRPr="00BA4A29">
        <w:rPr>
          <w:rStyle w:val="Fett"/>
          <w:b w:val="0"/>
        </w:rPr>
        <w:t>Lehnart</w:t>
      </w:r>
      <w:proofErr w:type="spellEnd"/>
      <w:r w:rsidRPr="00BA4A29">
        <w:rPr>
          <w:rStyle w:val="Fett"/>
          <w:b w:val="0"/>
        </w:rPr>
        <w:t>).</w:t>
      </w:r>
    </w:p>
    <w:p w:rsidR="009B6224" w:rsidRPr="00BA4A29" w:rsidRDefault="009B6224" w:rsidP="00BA4A29">
      <w:pPr>
        <w:pStyle w:val="StandardWeb"/>
        <w:jc w:val="both"/>
        <w:rPr>
          <w:rStyle w:val="Fett"/>
          <w:b w:val="0"/>
        </w:rPr>
      </w:pPr>
    </w:p>
    <w:p w:rsidR="009B6224" w:rsidRPr="00BA4A29" w:rsidRDefault="009B6224" w:rsidP="00BA4A29">
      <w:pPr>
        <w:pStyle w:val="StandardWeb"/>
        <w:jc w:val="both"/>
        <w:rPr>
          <w:rStyle w:val="Fett"/>
        </w:rPr>
      </w:pPr>
      <w:r w:rsidRPr="00BA4A29">
        <w:rPr>
          <w:rStyle w:val="Fett"/>
        </w:rPr>
        <w:t>Der Verfall von Urlaubsansprüchen – Vorabentscheidungsersuchen des BAG vom 7.7.2020,</w:t>
      </w:r>
    </w:p>
    <w:p w:rsidR="009B6224" w:rsidRPr="00BA4A29" w:rsidRDefault="009B6224" w:rsidP="00BA4A29">
      <w:pPr>
        <w:pStyle w:val="StandardWeb"/>
        <w:jc w:val="both"/>
        <w:rPr>
          <w:rStyle w:val="Fett"/>
          <w:b w:val="0"/>
        </w:rPr>
      </w:pPr>
      <w:r w:rsidRPr="00BA4A29">
        <w:rPr>
          <w:rStyle w:val="Fett"/>
          <w:b w:val="0"/>
        </w:rPr>
        <w:t>in: Recht der Arbeit (</w:t>
      </w:r>
      <w:proofErr w:type="spellStart"/>
      <w:r w:rsidRPr="00BA4A29">
        <w:rPr>
          <w:rStyle w:val="Fett"/>
          <w:b w:val="0"/>
        </w:rPr>
        <w:t>RdA</w:t>
      </w:r>
      <w:proofErr w:type="spellEnd"/>
      <w:r w:rsidRPr="00BA4A29">
        <w:rPr>
          <w:rStyle w:val="Fett"/>
          <w:b w:val="0"/>
        </w:rPr>
        <w:t>) 2021, S. 240-246</w:t>
      </w:r>
      <w:r w:rsidR="00014201" w:rsidRPr="00BA4A29">
        <w:rPr>
          <w:rStyle w:val="Fett"/>
          <w:b w:val="0"/>
        </w:rPr>
        <w:t xml:space="preserve"> (mit Prof. Dr. Dr. h.c. Monika Schlachter)</w:t>
      </w:r>
      <w:r w:rsidRPr="00BA4A29">
        <w:rPr>
          <w:rStyle w:val="Fett"/>
          <w:b w:val="0"/>
        </w:rPr>
        <w:t>.</w:t>
      </w:r>
    </w:p>
    <w:p w:rsidR="009B6224" w:rsidRPr="00BA4A29" w:rsidRDefault="009B6224" w:rsidP="00BA4A29">
      <w:pPr>
        <w:pStyle w:val="StandardWeb"/>
        <w:jc w:val="both"/>
        <w:rPr>
          <w:rStyle w:val="Fett"/>
        </w:rPr>
      </w:pPr>
    </w:p>
    <w:p w:rsidR="00EE07B1" w:rsidRPr="00BA4A29" w:rsidRDefault="00EE07B1" w:rsidP="00BA4A29">
      <w:pPr>
        <w:pStyle w:val="StandardWeb"/>
        <w:jc w:val="both"/>
      </w:pPr>
      <w:r w:rsidRPr="00BA4A29">
        <w:rPr>
          <w:rStyle w:val="Fett"/>
        </w:rPr>
        <w:t>Geschlechterparität im Zuge der Personalratswahl,</w:t>
      </w:r>
    </w:p>
    <w:p w:rsidR="00EE07B1" w:rsidRPr="00BA4A29" w:rsidRDefault="00EE07B1" w:rsidP="00BA4A29">
      <w:pPr>
        <w:pStyle w:val="StandardWeb"/>
        <w:jc w:val="both"/>
      </w:pPr>
      <w:r w:rsidRPr="00BA4A29">
        <w:t>in:</w:t>
      </w:r>
      <w:r w:rsidR="009B6224" w:rsidRPr="00BA4A29">
        <w:t xml:space="preserve"> Die Personalvertretung (</w:t>
      </w:r>
      <w:proofErr w:type="spellStart"/>
      <w:r w:rsidR="009B6224" w:rsidRPr="00BA4A29">
        <w:t>PersV</w:t>
      </w:r>
      <w:proofErr w:type="spellEnd"/>
      <w:r w:rsidR="009B6224" w:rsidRPr="00BA4A29">
        <w:t>) 2021, S. 124-132.</w:t>
      </w:r>
      <w:r w:rsidRPr="00BA4A29">
        <w:t xml:space="preserve"> </w:t>
      </w:r>
    </w:p>
    <w:p w:rsidR="00EE07B1" w:rsidRPr="00BA4A29" w:rsidRDefault="00EE07B1" w:rsidP="00BA4A29">
      <w:pPr>
        <w:pStyle w:val="StandardWeb"/>
        <w:jc w:val="both"/>
      </w:pPr>
    </w:p>
    <w:p w:rsidR="00EE07B1" w:rsidRPr="00BA4A29" w:rsidRDefault="00EE07B1" w:rsidP="00BA4A29">
      <w:pPr>
        <w:pStyle w:val="StandardWeb"/>
        <w:jc w:val="both"/>
      </w:pPr>
      <w:r w:rsidRPr="00BA4A29">
        <w:rPr>
          <w:rStyle w:val="Fett"/>
        </w:rPr>
        <w:t>Die Grundrechtsfähigkeit der Personalvertretung,</w:t>
      </w:r>
    </w:p>
    <w:p w:rsidR="00EE07B1" w:rsidRPr="00BA4A29" w:rsidRDefault="00EE07B1" w:rsidP="00BA4A29">
      <w:pPr>
        <w:pStyle w:val="StandardWeb"/>
        <w:jc w:val="both"/>
      </w:pPr>
      <w:r w:rsidRPr="00BA4A29">
        <w:t>in: Die Personalvertretung (</w:t>
      </w:r>
      <w:proofErr w:type="spellStart"/>
      <w:r w:rsidRPr="00BA4A29">
        <w:t>PersV</w:t>
      </w:r>
      <w:proofErr w:type="spellEnd"/>
      <w:r w:rsidRPr="00BA4A29">
        <w:t>) 2020, S. 124-135.</w:t>
      </w:r>
    </w:p>
    <w:p w:rsidR="00EE07B1" w:rsidRPr="00BA4A29" w:rsidRDefault="00EE07B1" w:rsidP="00BA4A29">
      <w:pPr>
        <w:pStyle w:val="StandardWeb"/>
        <w:jc w:val="both"/>
        <w:rPr>
          <w:i/>
          <w:iCs/>
        </w:rPr>
      </w:pPr>
      <w:r w:rsidRPr="00BA4A29">
        <w:rPr>
          <w:i/>
          <w:iCs/>
        </w:rPr>
        <w:t>- ausgezeichnet mit dem 9. GUT-Publikationspreis 2020 der Universität Trier für die beste Publikation im FB V-Rechtswissenschaft -</w:t>
      </w:r>
    </w:p>
    <w:p w:rsidR="00EE07B1" w:rsidRPr="00BA4A29" w:rsidRDefault="00EE07B1" w:rsidP="00BA4A29">
      <w:pPr>
        <w:pStyle w:val="StandardWeb"/>
        <w:jc w:val="both"/>
      </w:pPr>
      <w:r w:rsidRPr="00BA4A29">
        <w:t> </w:t>
      </w:r>
    </w:p>
    <w:p w:rsidR="00EE07B1" w:rsidRPr="00BA4A29" w:rsidRDefault="00EE07B1" w:rsidP="00BA4A29">
      <w:pPr>
        <w:pStyle w:val="StandardWeb"/>
        <w:jc w:val="both"/>
      </w:pPr>
      <w:r w:rsidRPr="00BA4A29">
        <w:rPr>
          <w:rStyle w:val="Fett"/>
        </w:rPr>
        <w:t xml:space="preserve">Das Bundessozialgericht als „Bremse“ der </w:t>
      </w:r>
      <w:proofErr w:type="spellStart"/>
      <w:r w:rsidRPr="00BA4A29">
        <w:rPr>
          <w:rStyle w:val="Fett"/>
        </w:rPr>
        <w:t>Reprofessionalisierungstendenzen</w:t>
      </w:r>
      <w:proofErr w:type="spellEnd"/>
      <w:r w:rsidRPr="00BA4A29">
        <w:rPr>
          <w:rStyle w:val="Fett"/>
        </w:rPr>
        <w:t xml:space="preserve"> (honorar-)</w:t>
      </w:r>
      <w:r w:rsidR="009B6224" w:rsidRPr="00BA4A29">
        <w:rPr>
          <w:rStyle w:val="Fett"/>
        </w:rPr>
        <w:t xml:space="preserve"> </w:t>
      </w:r>
      <w:r w:rsidRPr="00BA4A29">
        <w:rPr>
          <w:rStyle w:val="Fett"/>
        </w:rPr>
        <w:t>ärztlicher Tätigkeit? – Eine interdisziplinäre Untersuchung,</w:t>
      </w:r>
    </w:p>
    <w:p w:rsidR="00EE07B1" w:rsidRPr="00BA4A29" w:rsidRDefault="00EE07B1" w:rsidP="00BA4A29">
      <w:pPr>
        <w:pStyle w:val="StandardWeb"/>
        <w:jc w:val="both"/>
      </w:pPr>
      <w:r w:rsidRPr="00BA4A29">
        <w:t xml:space="preserve">in: Vierteljahresschrift für Sozial- und Arbeitsrecht (VSSAR) 2020, S. 23-48 (mit Katrin </w:t>
      </w:r>
      <w:proofErr w:type="spellStart"/>
      <w:r w:rsidRPr="00BA4A29">
        <w:t>Treppschuh</w:t>
      </w:r>
      <w:proofErr w:type="spellEnd"/>
      <w:r w:rsidRPr="00BA4A29">
        <w:t xml:space="preserve"> und Ronny Ehlen).</w:t>
      </w:r>
    </w:p>
    <w:p w:rsidR="00014201" w:rsidRPr="00BA4A29" w:rsidRDefault="00EE07B1" w:rsidP="00BA4A29">
      <w:pPr>
        <w:pStyle w:val="StandardWeb"/>
        <w:jc w:val="both"/>
      </w:pPr>
      <w:r w:rsidRPr="00BA4A29">
        <w:t> </w:t>
      </w:r>
    </w:p>
    <w:p w:rsidR="00BA4A29" w:rsidRPr="00BA4A29" w:rsidRDefault="00BA4A29" w:rsidP="00BA4A29">
      <w:pPr>
        <w:pStyle w:val="StandardWeb"/>
        <w:jc w:val="both"/>
        <w:rPr>
          <w:rStyle w:val="Fett"/>
          <w:b w:val="0"/>
          <w:bCs w:val="0"/>
        </w:rPr>
      </w:pPr>
    </w:p>
    <w:p w:rsidR="00EE07B1" w:rsidRPr="00BA4A29" w:rsidRDefault="00EE07B1" w:rsidP="00BA4A29">
      <w:pPr>
        <w:pStyle w:val="StandardWeb"/>
        <w:jc w:val="both"/>
      </w:pPr>
      <w:r w:rsidRPr="00BA4A29">
        <w:rPr>
          <w:rStyle w:val="Fett"/>
        </w:rPr>
        <w:lastRenderedPageBreak/>
        <w:t>Die Umsetzung der Entsenderichtlinie,</w:t>
      </w:r>
    </w:p>
    <w:p w:rsidR="00EE07B1" w:rsidRPr="00BA4A29" w:rsidRDefault="00EE07B1" w:rsidP="00BA4A29">
      <w:pPr>
        <w:pStyle w:val="StandardWeb"/>
        <w:spacing w:before="0" w:beforeAutospacing="0"/>
        <w:jc w:val="both"/>
      </w:pPr>
      <w:r w:rsidRPr="00BA4A29">
        <w:t>in: Soziales Recht (SR) 2019, S. 72-87 (mit Dr. Thomas Klein).</w:t>
      </w:r>
    </w:p>
    <w:p w:rsidR="00EE07B1" w:rsidRPr="00BA4A29" w:rsidRDefault="00EE07B1" w:rsidP="00BA4A29">
      <w:pPr>
        <w:pStyle w:val="StandardWeb"/>
        <w:jc w:val="both"/>
      </w:pPr>
      <w:r w:rsidRPr="00BA4A29">
        <w:t> </w:t>
      </w:r>
    </w:p>
    <w:p w:rsidR="00EE07B1" w:rsidRPr="00BA4A29" w:rsidRDefault="00EE07B1" w:rsidP="00BA4A29">
      <w:pPr>
        <w:pStyle w:val="StandardWeb"/>
        <w:spacing w:before="0" w:beforeAutospacing="0"/>
        <w:jc w:val="both"/>
      </w:pPr>
      <w:r w:rsidRPr="00BA4A29">
        <w:rPr>
          <w:rStyle w:val="Fett"/>
        </w:rPr>
        <w:t>Die Änderung der Entsenderichtlinie,</w:t>
      </w:r>
    </w:p>
    <w:p w:rsidR="00EE07B1" w:rsidRDefault="00EE07B1" w:rsidP="00BA4A29">
      <w:pPr>
        <w:pStyle w:val="StandardWeb"/>
        <w:jc w:val="both"/>
      </w:pPr>
      <w:r w:rsidRPr="00BA4A29">
        <w:t>in: Soziales Recht (SR) 2019, S. 21-36 (mit Dr. Thomas Klein).</w:t>
      </w:r>
    </w:p>
    <w:p w:rsidR="00BA4A29" w:rsidRDefault="00BA4A29" w:rsidP="00BA4A29">
      <w:pPr>
        <w:pStyle w:val="StandardWeb"/>
        <w:jc w:val="both"/>
      </w:pPr>
    </w:p>
    <w:p w:rsidR="00BA4A29" w:rsidRDefault="00BA4A29" w:rsidP="00BA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A29">
        <w:rPr>
          <w:rStyle w:val="Fett"/>
          <w:rFonts w:ascii="Times New Roman" w:hAnsi="Times New Roman" w:cs="Times New Roman"/>
          <w:sz w:val="24"/>
          <w:szCs w:val="24"/>
        </w:rPr>
        <w:t>Die Heranziehung der EMRK in der juristischen Fallbearbeitung nach dem Vorbild der Rechtsprechung – dargestellt am Beispiel der Rechtsprechung zum Beamtenstreikrecht,</w:t>
      </w:r>
      <w:r w:rsidRPr="00BA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29" w:rsidRDefault="00BA4A29" w:rsidP="00BA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29" w:rsidRPr="00BA4A29" w:rsidRDefault="00BA4A29" w:rsidP="00BA4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A29">
        <w:rPr>
          <w:rFonts w:ascii="Times New Roman" w:hAnsi="Times New Roman" w:cs="Times New Roman"/>
          <w:sz w:val="24"/>
          <w:szCs w:val="24"/>
        </w:rPr>
        <w:t xml:space="preserve">in: Juristische Arbeitsblätter (JA) 2019, S. 9-15 (mit Dr. Thomas </w:t>
      </w:r>
      <w:proofErr w:type="spellStart"/>
      <w:r w:rsidRPr="00BA4A29">
        <w:rPr>
          <w:rFonts w:ascii="Times New Roman" w:hAnsi="Times New Roman" w:cs="Times New Roman"/>
          <w:sz w:val="24"/>
          <w:szCs w:val="24"/>
        </w:rPr>
        <w:t>Spitzlei</w:t>
      </w:r>
      <w:proofErr w:type="spellEnd"/>
      <w:r w:rsidRPr="00BA4A29">
        <w:rPr>
          <w:rFonts w:ascii="Times New Roman" w:hAnsi="Times New Roman" w:cs="Times New Roman"/>
          <w:sz w:val="24"/>
          <w:szCs w:val="24"/>
        </w:rPr>
        <w:t>).</w:t>
      </w:r>
    </w:p>
    <w:p w:rsidR="00EE07B1" w:rsidRPr="00BA4A29" w:rsidRDefault="00EE07B1" w:rsidP="00BA4A29">
      <w:pPr>
        <w:pStyle w:val="StandardWeb"/>
        <w:jc w:val="both"/>
      </w:pPr>
      <w:r w:rsidRPr="00BA4A29">
        <w:t> </w:t>
      </w:r>
    </w:p>
    <w:p w:rsidR="00EE07B1" w:rsidRPr="00BA4A29" w:rsidRDefault="00EE07B1" w:rsidP="00BA4A29">
      <w:pPr>
        <w:pStyle w:val="StandardWeb"/>
        <w:jc w:val="both"/>
      </w:pPr>
      <w:r w:rsidRPr="00BA4A29">
        <w:rPr>
          <w:rStyle w:val="Fett"/>
        </w:rPr>
        <w:t>Aktuelle Blickfänge in der Rechtsprechung zum TVöD,</w:t>
      </w:r>
    </w:p>
    <w:p w:rsidR="00EE07B1" w:rsidRPr="00BA4A29" w:rsidRDefault="00EE07B1" w:rsidP="00BA4A29">
      <w:pPr>
        <w:pStyle w:val="StandardWeb"/>
        <w:jc w:val="both"/>
      </w:pPr>
      <w:r w:rsidRPr="00BA4A29">
        <w:t>in: Arbeitsrecht Aktuell (</w:t>
      </w:r>
      <w:proofErr w:type="spellStart"/>
      <w:r w:rsidRPr="00BA4A29">
        <w:t>ArbRAktuell</w:t>
      </w:r>
      <w:proofErr w:type="spellEnd"/>
      <w:r w:rsidRPr="00BA4A29">
        <w:t>) 2018, S. 627-630.</w:t>
      </w:r>
    </w:p>
    <w:p w:rsidR="00EE07B1" w:rsidRPr="00BA4A29" w:rsidRDefault="00EE07B1" w:rsidP="00BA4A29">
      <w:pPr>
        <w:pStyle w:val="StandardWeb"/>
        <w:jc w:val="both"/>
      </w:pPr>
      <w:r w:rsidRPr="00BA4A29">
        <w:t>  </w:t>
      </w:r>
    </w:p>
    <w:p w:rsidR="00BA4A29" w:rsidRDefault="00EE07B1" w:rsidP="00BA4A29">
      <w:pPr>
        <w:pStyle w:val="StandardWeb"/>
        <w:spacing w:before="0" w:beforeAutospacing="0" w:after="0" w:afterAutospacing="0"/>
        <w:jc w:val="both"/>
      </w:pPr>
      <w:r w:rsidRPr="00BA4A29">
        <w:rPr>
          <w:rStyle w:val="Fett"/>
        </w:rPr>
        <w:t>Die Wie-Beschäftigung im Lichte einer sich wandelnden Arbeitswelt,</w:t>
      </w:r>
      <w:r w:rsidRPr="00BA4A29">
        <w:t xml:space="preserve"> </w:t>
      </w:r>
    </w:p>
    <w:p w:rsidR="00EE07B1" w:rsidRPr="00BA4A29" w:rsidRDefault="00EE07B1" w:rsidP="00BA4A29">
      <w:pPr>
        <w:pStyle w:val="StandardWeb"/>
        <w:spacing w:before="0" w:beforeAutospacing="0"/>
        <w:jc w:val="both"/>
      </w:pPr>
      <w:r w:rsidRPr="00BA4A29">
        <w:br/>
        <w:t xml:space="preserve">in: Neue Zeitschrift für Sozialrecht (NZS) 2018, S. 633-638 (mit Dr. Thomas </w:t>
      </w:r>
      <w:proofErr w:type="spellStart"/>
      <w:r w:rsidRPr="00BA4A29">
        <w:t>Spitzlei</w:t>
      </w:r>
      <w:proofErr w:type="spellEnd"/>
      <w:r w:rsidRPr="00BA4A29">
        <w:t>).</w:t>
      </w:r>
    </w:p>
    <w:p w:rsidR="00BA4A29" w:rsidRPr="00BA4A29" w:rsidRDefault="00BA4A29" w:rsidP="00BA4A29">
      <w:pPr>
        <w:pStyle w:val="StandardWeb"/>
        <w:spacing w:line="360" w:lineRule="auto"/>
        <w:jc w:val="both"/>
        <w:rPr>
          <w:b/>
          <w:u w:val="single"/>
        </w:rPr>
      </w:pPr>
    </w:p>
    <w:p w:rsidR="00EE07B1" w:rsidRPr="00BA4A29" w:rsidRDefault="00014201" w:rsidP="00BA4A29">
      <w:pPr>
        <w:pStyle w:val="StandardWeb"/>
        <w:spacing w:line="360" w:lineRule="auto"/>
        <w:jc w:val="both"/>
        <w:rPr>
          <w:b/>
          <w:u w:val="single"/>
        </w:rPr>
      </w:pPr>
      <w:r w:rsidRPr="00BA4A29">
        <w:rPr>
          <w:b/>
          <w:u w:val="single"/>
        </w:rPr>
        <w:t>Urteilsanmerkungen</w:t>
      </w:r>
    </w:p>
    <w:p w:rsidR="00EE07B1" w:rsidRPr="00BA4A29" w:rsidRDefault="00EE07B1" w:rsidP="00BA4A29">
      <w:pPr>
        <w:pStyle w:val="StandardWeb"/>
        <w:spacing w:after="120" w:afterAutospacing="0" w:line="360" w:lineRule="auto"/>
        <w:jc w:val="both"/>
      </w:pPr>
      <w:r w:rsidRPr="00BA4A29">
        <w:rPr>
          <w:rStyle w:val="Fett"/>
        </w:rPr>
        <w:t>Anm</w:t>
      </w:r>
      <w:r w:rsidR="009B6224" w:rsidRPr="00BA4A29">
        <w:rPr>
          <w:rStyle w:val="Fett"/>
        </w:rPr>
        <w:t>.</w:t>
      </w:r>
      <w:r w:rsidRPr="00BA4A29">
        <w:rPr>
          <w:rStyle w:val="Fett"/>
        </w:rPr>
        <w:t xml:space="preserve"> zu BSG, Urteil vom 23.1.2018 - B 2 U 3/16 R,</w:t>
      </w:r>
    </w:p>
    <w:p w:rsidR="00EE07B1" w:rsidRPr="00BA4A29" w:rsidRDefault="00EE07B1" w:rsidP="00BA4A29">
      <w:pPr>
        <w:pStyle w:val="StandardWeb"/>
        <w:spacing w:before="0" w:beforeAutospacing="0"/>
        <w:jc w:val="both"/>
      </w:pPr>
      <w:r w:rsidRPr="00BA4A29">
        <w:t>in: Wege zur Sozialversicherung (WzS) 2018, S. 191 f.</w:t>
      </w:r>
    </w:p>
    <w:p w:rsidR="00B91AD7" w:rsidRPr="00BA4A29" w:rsidRDefault="00EE07B1" w:rsidP="00BA4A29">
      <w:pPr>
        <w:pStyle w:val="StandardWeb"/>
        <w:jc w:val="both"/>
      </w:pPr>
      <w:r w:rsidRPr="00BA4A29">
        <w:t>(betr.: Wegeunfallrecht, hier: Glatteisprüfung vor Fahrtantritt).</w:t>
      </w:r>
    </w:p>
    <w:sectPr w:rsidR="00B91AD7" w:rsidRPr="00BA4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B1"/>
    <w:rsid w:val="00014201"/>
    <w:rsid w:val="001568BB"/>
    <w:rsid w:val="001C6281"/>
    <w:rsid w:val="009B6224"/>
    <w:rsid w:val="009F24F0"/>
    <w:rsid w:val="00B91AD7"/>
    <w:rsid w:val="00BA4A29"/>
    <w:rsid w:val="00BC29F5"/>
    <w:rsid w:val="00E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C97D"/>
  <w15:chartTrackingRefBased/>
  <w15:docId w15:val="{5C672ADC-BA64-48B8-9C67-7B109ED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C6281"/>
    <w:pPr>
      <w:tabs>
        <w:tab w:val="left" w:pos="480"/>
        <w:tab w:val="right" w:pos="9062"/>
      </w:tabs>
      <w:spacing w:before="360" w:after="0" w:line="360" w:lineRule="auto"/>
      <w:ind w:right="397"/>
      <w:jc w:val="both"/>
    </w:pPr>
    <w:rPr>
      <w:rFonts w:ascii="Times New Roman" w:hAnsi="Times New Roman"/>
      <w:b/>
      <w:bCs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68BB"/>
    <w:pPr>
      <w:tabs>
        <w:tab w:val="left" w:pos="480"/>
        <w:tab w:val="right" w:pos="9062"/>
      </w:tabs>
      <w:spacing w:before="120" w:after="0" w:line="360" w:lineRule="auto"/>
      <w:ind w:right="397"/>
      <w:jc w:val="both"/>
    </w:pPr>
    <w:rPr>
      <w:rFonts w:ascii="Times New Roman" w:hAnsi="Times New Roman"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1C6281"/>
    <w:pPr>
      <w:tabs>
        <w:tab w:val="left" w:pos="720"/>
        <w:tab w:val="right" w:pos="9062"/>
      </w:tabs>
      <w:spacing w:before="120" w:after="0" w:line="360" w:lineRule="auto"/>
      <w:ind w:left="240" w:right="397"/>
      <w:jc w:val="both"/>
    </w:pPr>
    <w:rPr>
      <w:rFonts w:ascii="Times New Roman" w:hAnsi="Times New Roman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C6281"/>
    <w:pPr>
      <w:tabs>
        <w:tab w:val="left" w:pos="1200"/>
        <w:tab w:val="right" w:pos="9062"/>
      </w:tabs>
      <w:spacing w:before="120" w:after="0" w:line="360" w:lineRule="auto"/>
      <w:ind w:left="720" w:right="397"/>
      <w:jc w:val="both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1C6281"/>
    <w:pPr>
      <w:tabs>
        <w:tab w:val="left" w:pos="1440"/>
        <w:tab w:val="right" w:pos="9062"/>
      </w:tabs>
      <w:spacing w:before="120" w:after="0" w:line="360" w:lineRule="auto"/>
      <w:ind w:left="960" w:right="340"/>
      <w:jc w:val="both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1C6281"/>
    <w:pPr>
      <w:tabs>
        <w:tab w:val="left" w:pos="1680"/>
        <w:tab w:val="right" w:pos="9062"/>
      </w:tabs>
      <w:spacing w:before="120" w:after="0" w:line="360" w:lineRule="auto"/>
      <w:ind w:left="1200" w:right="283"/>
      <w:jc w:val="both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1C6281"/>
    <w:pPr>
      <w:tabs>
        <w:tab w:val="left" w:pos="1881"/>
        <w:tab w:val="right" w:pos="9062"/>
      </w:tabs>
      <w:spacing w:before="120" w:after="0" w:line="360" w:lineRule="auto"/>
      <w:ind w:left="1440" w:right="397"/>
      <w:jc w:val="both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1C6281"/>
    <w:pPr>
      <w:tabs>
        <w:tab w:val="left" w:pos="2152"/>
        <w:tab w:val="right" w:pos="9062"/>
      </w:tabs>
      <w:spacing w:before="120" w:after="0" w:line="360" w:lineRule="auto"/>
      <w:ind w:left="1680" w:right="283"/>
      <w:jc w:val="both"/>
    </w:pPr>
    <w:rPr>
      <w:rFonts w:ascii="Times New Roman" w:hAnsi="Times New Roman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1C6281"/>
    <w:pPr>
      <w:tabs>
        <w:tab w:val="left" w:pos="960"/>
        <w:tab w:val="right" w:pos="9062"/>
      </w:tabs>
      <w:spacing w:before="120" w:after="0" w:line="360" w:lineRule="auto"/>
      <w:ind w:left="480" w:right="397"/>
      <w:jc w:val="both"/>
    </w:pPr>
    <w:rPr>
      <w:rFonts w:ascii="Times New Roman" w:hAnsi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E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E07B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E0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Schneider</dc:creator>
  <cp:keywords/>
  <dc:description/>
  <cp:lastModifiedBy>Alexander Schneider</cp:lastModifiedBy>
  <cp:revision>3</cp:revision>
  <dcterms:created xsi:type="dcterms:W3CDTF">2021-05-06T06:11:00Z</dcterms:created>
  <dcterms:modified xsi:type="dcterms:W3CDTF">2021-09-15T09:35:00Z</dcterms:modified>
</cp:coreProperties>
</file>