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EF03CE" w:rsidTr="004466BE">
        <w:tc>
          <w:tcPr>
            <w:tcW w:w="2830" w:type="dxa"/>
            <w:tcMar>
              <w:left w:w="0" w:type="dxa"/>
              <w:right w:w="0" w:type="dxa"/>
            </w:tcMar>
          </w:tcPr>
          <w:p w:rsidR="00EF03CE" w:rsidRDefault="00EF03CE" w:rsidP="00EF03CE">
            <w:pPr>
              <w:rPr>
                <w:sz w:val="28"/>
                <w:szCs w:val="28"/>
              </w:rPr>
            </w:pPr>
            <w:r>
              <w:rPr>
                <w:sz w:val="28"/>
                <w:szCs w:val="28"/>
              </w:rPr>
              <w:t>Kerstin Güthert</w:t>
            </w:r>
            <w:r w:rsidR="00DA5AA7">
              <w:rPr>
                <w:sz w:val="28"/>
                <w:szCs w:val="28"/>
              </w:rPr>
              <w:t>,</w:t>
            </w:r>
          </w:p>
          <w:p w:rsidR="00DA5AA7" w:rsidRPr="00DA5AA7" w:rsidRDefault="00DA5AA7" w:rsidP="00EF03CE">
            <w:pPr>
              <w:rPr>
                <w:sz w:val="24"/>
                <w:szCs w:val="24"/>
              </w:rPr>
            </w:pPr>
            <w:r w:rsidRPr="00DA5AA7">
              <w:rPr>
                <w:sz w:val="24"/>
                <w:szCs w:val="24"/>
              </w:rPr>
              <w:t xml:space="preserve">Leibniz-Institut </w:t>
            </w:r>
            <w:r>
              <w:rPr>
                <w:sz w:val="24"/>
                <w:szCs w:val="24"/>
              </w:rPr>
              <w:br w:type="textWrapping" w:clear="all"/>
            </w:r>
            <w:r w:rsidRPr="00DA5AA7">
              <w:rPr>
                <w:sz w:val="24"/>
                <w:szCs w:val="24"/>
              </w:rPr>
              <w:t>für Deutsche Sprache</w:t>
            </w:r>
          </w:p>
        </w:tc>
        <w:tc>
          <w:tcPr>
            <w:tcW w:w="6230" w:type="dxa"/>
            <w:tcMar>
              <w:left w:w="0" w:type="dxa"/>
              <w:right w:w="0" w:type="dxa"/>
            </w:tcMar>
          </w:tcPr>
          <w:p w:rsidR="00EF03CE" w:rsidRDefault="00EF03CE" w:rsidP="00EF03CE">
            <w:pPr>
              <w:jc w:val="right"/>
              <w:rPr>
                <w:sz w:val="28"/>
                <w:szCs w:val="28"/>
              </w:rPr>
            </w:pPr>
            <w:r>
              <w:rPr>
                <w:sz w:val="28"/>
                <w:szCs w:val="28"/>
              </w:rPr>
              <w:t>Arbeitsgespräch zur historischen Lexikographie 2022</w:t>
            </w:r>
          </w:p>
          <w:p w:rsidR="00DA5AA7" w:rsidRPr="00DA5AA7" w:rsidRDefault="00DA5AA7" w:rsidP="00EF03CE">
            <w:pPr>
              <w:jc w:val="right"/>
              <w:rPr>
                <w:sz w:val="24"/>
                <w:szCs w:val="24"/>
              </w:rPr>
            </w:pPr>
            <w:r w:rsidRPr="00DA5AA7">
              <w:rPr>
                <w:sz w:val="24"/>
                <w:szCs w:val="24"/>
              </w:rPr>
              <w:t>Trier, 29.4.-1.5.2022</w:t>
            </w:r>
          </w:p>
        </w:tc>
      </w:tr>
      <w:tr w:rsidR="00DA5AA7" w:rsidTr="004466BE">
        <w:tc>
          <w:tcPr>
            <w:tcW w:w="2830" w:type="dxa"/>
            <w:tcMar>
              <w:left w:w="0" w:type="dxa"/>
              <w:right w:w="0" w:type="dxa"/>
            </w:tcMar>
          </w:tcPr>
          <w:p w:rsidR="00DA5AA7" w:rsidRDefault="00DA5AA7" w:rsidP="00EF03CE">
            <w:pPr>
              <w:rPr>
                <w:sz w:val="28"/>
                <w:szCs w:val="28"/>
              </w:rPr>
            </w:pPr>
          </w:p>
        </w:tc>
        <w:tc>
          <w:tcPr>
            <w:tcW w:w="6230" w:type="dxa"/>
            <w:tcMar>
              <w:left w:w="0" w:type="dxa"/>
              <w:right w:w="0" w:type="dxa"/>
            </w:tcMar>
          </w:tcPr>
          <w:p w:rsidR="00DA5AA7" w:rsidRDefault="00DA5AA7" w:rsidP="00EF03CE">
            <w:pPr>
              <w:jc w:val="right"/>
              <w:rPr>
                <w:sz w:val="28"/>
                <w:szCs w:val="28"/>
              </w:rPr>
            </w:pPr>
          </w:p>
        </w:tc>
      </w:tr>
    </w:tbl>
    <w:p w:rsidR="00A61BFA" w:rsidRPr="00EF03CE" w:rsidRDefault="00CD1B30" w:rsidP="00230435">
      <w:pPr>
        <w:spacing w:before="1200" w:after="720"/>
        <w:jc w:val="center"/>
        <w:rPr>
          <w:b/>
          <w:sz w:val="28"/>
          <w:szCs w:val="28"/>
        </w:rPr>
      </w:pPr>
      <w:r w:rsidRPr="00EF03CE">
        <w:rPr>
          <w:b/>
          <w:sz w:val="28"/>
          <w:szCs w:val="28"/>
        </w:rPr>
        <w:t>Das Deutsche Fremdwörterbuch online</w:t>
      </w:r>
      <w:r w:rsidR="00EF03CE">
        <w:rPr>
          <w:b/>
          <w:sz w:val="28"/>
          <w:szCs w:val="28"/>
        </w:rPr>
        <w:t>: Werkstattbericht zum Relaunch</w:t>
      </w:r>
    </w:p>
    <w:p w:rsidR="00816805" w:rsidRDefault="00AB761C" w:rsidP="00816805">
      <w:pPr>
        <w:spacing w:after="90" w:line="240" w:lineRule="auto"/>
        <w:jc w:val="both"/>
        <w:rPr>
          <w:sz w:val="24"/>
          <w:szCs w:val="24"/>
        </w:rPr>
      </w:pPr>
      <w:proofErr w:type="spellStart"/>
      <w:r w:rsidRPr="00816805">
        <w:rPr>
          <w:b/>
          <w:i/>
          <w:sz w:val="24"/>
          <w:szCs w:val="24"/>
        </w:rPr>
        <w:t>Vorbem</w:t>
      </w:r>
      <w:proofErr w:type="spellEnd"/>
      <w:r w:rsidRPr="00816805">
        <w:rPr>
          <w:b/>
          <w:i/>
          <w:sz w:val="24"/>
          <w:szCs w:val="24"/>
        </w:rPr>
        <w:t>.</w:t>
      </w:r>
      <w:r w:rsidRPr="00AB761C">
        <w:rPr>
          <w:i/>
          <w:sz w:val="24"/>
          <w:szCs w:val="24"/>
        </w:rPr>
        <w:t>:</w:t>
      </w:r>
      <w:r>
        <w:rPr>
          <w:sz w:val="24"/>
          <w:szCs w:val="24"/>
        </w:rPr>
        <w:t xml:space="preserve"> </w:t>
      </w:r>
      <w:r w:rsidR="00AB7072">
        <w:rPr>
          <w:sz w:val="24"/>
          <w:szCs w:val="24"/>
        </w:rPr>
        <w:t>Der</w:t>
      </w:r>
      <w:r w:rsidR="00702F1E">
        <w:rPr>
          <w:sz w:val="24"/>
          <w:szCs w:val="24"/>
        </w:rPr>
        <w:t xml:space="preserve"> Beitrag </w:t>
      </w:r>
      <w:r w:rsidR="00AB7072">
        <w:rPr>
          <w:sz w:val="24"/>
          <w:szCs w:val="24"/>
        </w:rPr>
        <w:t>befasst sich schwerpunktmäßig mit den sog. Artikelübersichten, einer</w:t>
      </w:r>
      <w:r w:rsidR="001F4FDF">
        <w:rPr>
          <w:sz w:val="24"/>
          <w:szCs w:val="24"/>
        </w:rPr>
        <w:t xml:space="preserve"> Art Kurza</w:t>
      </w:r>
      <w:r w:rsidR="00B34C41">
        <w:rPr>
          <w:sz w:val="24"/>
          <w:szCs w:val="24"/>
        </w:rPr>
        <w:t>rtikel</w:t>
      </w:r>
      <w:r w:rsidR="004908D7">
        <w:rPr>
          <w:sz w:val="24"/>
          <w:szCs w:val="24"/>
        </w:rPr>
        <w:t xml:space="preserve"> zu den Vollartikeln im Deutschen Fremdwörterbuch</w:t>
      </w:r>
      <w:r w:rsidR="004D309B">
        <w:rPr>
          <w:sz w:val="24"/>
          <w:szCs w:val="24"/>
        </w:rPr>
        <w:t xml:space="preserve"> (DFWB)</w:t>
      </w:r>
      <w:r w:rsidR="00B34C41">
        <w:rPr>
          <w:sz w:val="24"/>
          <w:szCs w:val="24"/>
        </w:rPr>
        <w:t xml:space="preserve">. Diese werden schematisch in ihrem Aufbau sowie </w:t>
      </w:r>
      <w:r w:rsidR="004908D7">
        <w:rPr>
          <w:sz w:val="24"/>
          <w:szCs w:val="24"/>
        </w:rPr>
        <w:t>beispielhaft am Wörterbucheintrag „Glosse“</w:t>
      </w:r>
      <w:r w:rsidR="007B0BAF">
        <w:rPr>
          <w:sz w:val="24"/>
          <w:szCs w:val="24"/>
        </w:rPr>
        <w:t xml:space="preserve"> </w:t>
      </w:r>
      <w:r w:rsidR="00E329DB">
        <w:rPr>
          <w:sz w:val="24"/>
          <w:szCs w:val="24"/>
        </w:rPr>
        <w:t xml:space="preserve">vorgestellt. Grundlage bilden dabei die folgenden, nachstehend beigegebenen Dokumente: </w:t>
      </w:r>
    </w:p>
    <w:p w:rsidR="00816805" w:rsidRDefault="00E329DB" w:rsidP="00816805">
      <w:pPr>
        <w:spacing w:after="0" w:line="240" w:lineRule="auto"/>
        <w:ind w:left="567"/>
        <w:rPr>
          <w:sz w:val="24"/>
          <w:szCs w:val="24"/>
        </w:rPr>
      </w:pPr>
      <w:r w:rsidRPr="00816805">
        <w:rPr>
          <w:sz w:val="24"/>
          <w:szCs w:val="24"/>
        </w:rPr>
        <w:t>Dokument 1</w:t>
      </w:r>
      <w:r>
        <w:rPr>
          <w:sz w:val="24"/>
          <w:szCs w:val="24"/>
        </w:rPr>
        <w:t xml:space="preserve">: </w:t>
      </w:r>
      <w:r w:rsidR="00816805">
        <w:rPr>
          <w:sz w:val="24"/>
          <w:szCs w:val="24"/>
        </w:rPr>
        <w:t>Schematischer Aufbau von Vollartikel und Artikelübersicht</w:t>
      </w:r>
    </w:p>
    <w:p w:rsidR="00816805" w:rsidRDefault="00816805" w:rsidP="00816805">
      <w:pPr>
        <w:spacing w:after="0" w:line="240" w:lineRule="auto"/>
        <w:ind w:left="567"/>
        <w:rPr>
          <w:sz w:val="24"/>
          <w:szCs w:val="24"/>
        </w:rPr>
      </w:pPr>
      <w:r>
        <w:rPr>
          <w:sz w:val="24"/>
          <w:szCs w:val="24"/>
        </w:rPr>
        <w:t>Dokument 2</w:t>
      </w:r>
      <w:r w:rsidR="007874D0" w:rsidRPr="00380620">
        <w:rPr>
          <w:sz w:val="24"/>
          <w:szCs w:val="24"/>
        </w:rPr>
        <w:t>: „Glosse“ in der Ansicht als Vollartikel und als Artikelübersicht</w:t>
      </w:r>
      <w:r>
        <w:rPr>
          <w:sz w:val="24"/>
          <w:szCs w:val="24"/>
        </w:rPr>
        <w:t xml:space="preserve"> </w:t>
      </w:r>
    </w:p>
    <w:p w:rsidR="007874D0" w:rsidRPr="00380620" w:rsidRDefault="00816805" w:rsidP="00816805">
      <w:pPr>
        <w:spacing w:after="0" w:line="240" w:lineRule="auto"/>
        <w:ind w:left="567"/>
        <w:rPr>
          <w:sz w:val="24"/>
          <w:szCs w:val="24"/>
        </w:rPr>
      </w:pPr>
      <w:r>
        <w:rPr>
          <w:sz w:val="24"/>
          <w:szCs w:val="24"/>
        </w:rPr>
        <w:t>Dokument 3</w:t>
      </w:r>
      <w:r w:rsidR="007874D0" w:rsidRPr="00380620">
        <w:rPr>
          <w:sz w:val="24"/>
          <w:szCs w:val="24"/>
        </w:rPr>
        <w:t xml:space="preserve">: </w:t>
      </w:r>
      <w:r w:rsidR="007874D0" w:rsidRPr="00380620">
        <w:rPr>
          <w:sz w:val="24"/>
          <w:szCs w:val="24"/>
          <w:shd w:val="clear" w:color="auto" w:fill="FFFFFF" w:themeFill="background1"/>
        </w:rPr>
        <w:t xml:space="preserve">Bedeutungsansätze der unter „Glosse“ angeführten Sublemmata </w:t>
      </w:r>
    </w:p>
    <w:p w:rsidR="007874D0" w:rsidRDefault="007874D0" w:rsidP="00124FCA">
      <w:pPr>
        <w:spacing w:after="120" w:line="240" w:lineRule="auto"/>
        <w:rPr>
          <w:sz w:val="24"/>
          <w:szCs w:val="24"/>
        </w:rPr>
      </w:pPr>
    </w:p>
    <w:p w:rsidR="00DC1A96" w:rsidRPr="00E329DB" w:rsidRDefault="00E329DB" w:rsidP="00570F82">
      <w:pPr>
        <w:spacing w:before="480" w:after="120" w:line="240" w:lineRule="auto"/>
        <w:rPr>
          <w:sz w:val="28"/>
          <w:szCs w:val="28"/>
        </w:rPr>
      </w:pPr>
      <w:r w:rsidRPr="00E329DB">
        <w:rPr>
          <w:sz w:val="28"/>
          <w:szCs w:val="28"/>
        </w:rPr>
        <w:t xml:space="preserve">Dokument 1: </w:t>
      </w:r>
      <w:r>
        <w:rPr>
          <w:sz w:val="28"/>
          <w:szCs w:val="28"/>
        </w:rPr>
        <w:t>Schematischer Aufbau von Vollartikel und Artikelübersicht</w:t>
      </w:r>
    </w:p>
    <w:tbl>
      <w:tblPr>
        <w:tblStyle w:val="Tabellenraster"/>
        <w:tblW w:w="0" w:type="auto"/>
        <w:tblLook w:val="04A0" w:firstRow="1" w:lastRow="0" w:firstColumn="1" w:lastColumn="0" w:noHBand="0" w:noVBand="1"/>
      </w:tblPr>
      <w:tblGrid>
        <w:gridCol w:w="988"/>
        <w:gridCol w:w="4036"/>
        <w:gridCol w:w="4036"/>
      </w:tblGrid>
      <w:tr w:rsidR="0089156D" w:rsidTr="00042447">
        <w:tc>
          <w:tcPr>
            <w:tcW w:w="988" w:type="dxa"/>
            <w:tcBorders>
              <w:top w:val="nil"/>
              <w:left w:val="nil"/>
              <w:bottom w:val="nil"/>
              <w:right w:val="nil"/>
            </w:tcBorders>
            <w:shd w:val="clear" w:color="auto" w:fill="F2F2F2" w:themeFill="background1" w:themeFillShade="F2"/>
            <w:tcMar>
              <w:left w:w="0" w:type="dxa"/>
              <w:right w:w="0" w:type="dxa"/>
            </w:tcMar>
          </w:tcPr>
          <w:p w:rsidR="0089156D" w:rsidRPr="003C03CF" w:rsidRDefault="0089156D" w:rsidP="0089156D">
            <w:pPr>
              <w:rPr>
                <w:b/>
                <w:sz w:val="28"/>
                <w:szCs w:val="28"/>
              </w:rPr>
            </w:pPr>
          </w:p>
        </w:tc>
        <w:tc>
          <w:tcPr>
            <w:tcW w:w="4036" w:type="dxa"/>
            <w:tcBorders>
              <w:top w:val="nil"/>
              <w:left w:val="nil"/>
              <w:bottom w:val="nil"/>
              <w:right w:val="nil"/>
            </w:tcBorders>
            <w:shd w:val="clear" w:color="auto" w:fill="F2F2F2" w:themeFill="background1" w:themeFillShade="F2"/>
          </w:tcPr>
          <w:p w:rsidR="0095493E" w:rsidRDefault="0089156D" w:rsidP="0089156D">
            <w:pPr>
              <w:rPr>
                <w:b/>
                <w:sz w:val="24"/>
                <w:szCs w:val="24"/>
              </w:rPr>
            </w:pPr>
            <w:r w:rsidRPr="0089156D">
              <w:rPr>
                <w:b/>
                <w:sz w:val="24"/>
                <w:szCs w:val="24"/>
              </w:rPr>
              <w:t xml:space="preserve">Schema Artikel </w:t>
            </w:r>
          </w:p>
          <w:p w:rsidR="0089156D" w:rsidRPr="0095493E" w:rsidRDefault="0089156D" w:rsidP="0060298E">
            <w:pPr>
              <w:spacing w:after="30"/>
            </w:pPr>
            <w:r w:rsidRPr="0095493E">
              <w:t>(nach G. Strauß 1995: 1*ff.)</w:t>
            </w:r>
          </w:p>
        </w:tc>
        <w:tc>
          <w:tcPr>
            <w:tcW w:w="4036" w:type="dxa"/>
            <w:tcBorders>
              <w:top w:val="nil"/>
              <w:left w:val="nil"/>
              <w:bottom w:val="nil"/>
              <w:right w:val="nil"/>
            </w:tcBorders>
            <w:shd w:val="clear" w:color="auto" w:fill="F2F2F2" w:themeFill="background1" w:themeFillShade="F2"/>
          </w:tcPr>
          <w:p w:rsidR="0089156D" w:rsidRPr="0089156D" w:rsidRDefault="0089156D" w:rsidP="0089156D">
            <w:pPr>
              <w:rPr>
                <w:sz w:val="24"/>
                <w:szCs w:val="24"/>
              </w:rPr>
            </w:pPr>
            <w:r w:rsidRPr="0089156D">
              <w:rPr>
                <w:b/>
                <w:sz w:val="24"/>
                <w:szCs w:val="24"/>
              </w:rPr>
              <w:t>Schema Artikelübersichten</w:t>
            </w:r>
          </w:p>
        </w:tc>
      </w:tr>
      <w:tr w:rsidR="0089156D" w:rsidTr="00042447">
        <w:tc>
          <w:tcPr>
            <w:tcW w:w="988" w:type="dxa"/>
            <w:tcBorders>
              <w:top w:val="nil"/>
              <w:left w:val="nil"/>
              <w:bottom w:val="nil"/>
              <w:right w:val="nil"/>
            </w:tcBorders>
            <w:shd w:val="clear" w:color="auto" w:fill="F2F2F2" w:themeFill="background1" w:themeFillShade="F2"/>
            <w:tcMar>
              <w:left w:w="0" w:type="dxa"/>
              <w:right w:w="0" w:type="dxa"/>
            </w:tcMar>
          </w:tcPr>
          <w:p w:rsidR="0089156D" w:rsidRDefault="0089156D" w:rsidP="0089156D">
            <w:pPr>
              <w:rPr>
                <w:sz w:val="24"/>
                <w:szCs w:val="24"/>
              </w:rPr>
            </w:pPr>
            <w:r>
              <w:rPr>
                <w:sz w:val="24"/>
                <w:szCs w:val="24"/>
              </w:rPr>
              <w:t>Position 1</w:t>
            </w:r>
          </w:p>
        </w:tc>
        <w:tc>
          <w:tcPr>
            <w:tcW w:w="4036" w:type="dxa"/>
            <w:tcBorders>
              <w:top w:val="nil"/>
              <w:left w:val="nil"/>
              <w:bottom w:val="nil"/>
              <w:right w:val="nil"/>
            </w:tcBorders>
            <w:shd w:val="clear" w:color="auto" w:fill="auto"/>
          </w:tcPr>
          <w:p w:rsidR="0089156D" w:rsidRDefault="0095493E" w:rsidP="0089156D">
            <w:pPr>
              <w:rPr>
                <w:sz w:val="24"/>
                <w:szCs w:val="24"/>
              </w:rPr>
            </w:pPr>
            <w:proofErr w:type="spellStart"/>
            <w:r w:rsidRPr="00271CCE">
              <w:rPr>
                <w:sz w:val="24"/>
                <w:szCs w:val="24"/>
                <w:shd w:val="clear" w:color="auto" w:fill="BDD6EE" w:themeFill="accent1" w:themeFillTint="66"/>
              </w:rPr>
              <w:t>Lemmaansatz</w:t>
            </w:r>
            <w:proofErr w:type="spellEnd"/>
            <w:r w:rsidR="00C92616">
              <w:rPr>
                <w:sz w:val="24"/>
                <w:szCs w:val="24"/>
              </w:rPr>
              <w:t xml:space="preserve"> –</w:t>
            </w:r>
            <w:r w:rsidRPr="00271CCE">
              <w:rPr>
                <w:sz w:val="24"/>
                <w:szCs w:val="24"/>
              </w:rPr>
              <w:t xml:space="preserve"> </w:t>
            </w:r>
            <w:r w:rsidRPr="00271CCE">
              <w:rPr>
                <w:sz w:val="24"/>
                <w:szCs w:val="24"/>
                <w:shd w:val="clear" w:color="auto" w:fill="A8D08D" w:themeFill="accent6" w:themeFillTint="99"/>
              </w:rPr>
              <w:t>Schreibvarianten</w:t>
            </w:r>
            <w:r w:rsidR="00C92616">
              <w:rPr>
                <w:sz w:val="24"/>
                <w:szCs w:val="24"/>
              </w:rPr>
              <w:t xml:space="preserve"> –</w:t>
            </w:r>
            <w:r w:rsidRPr="00271CCE">
              <w:rPr>
                <w:sz w:val="24"/>
                <w:szCs w:val="24"/>
              </w:rPr>
              <w:t xml:space="preserve"> grammatische Bestimmung </w:t>
            </w:r>
            <w:r w:rsidR="00C92616">
              <w:rPr>
                <w:sz w:val="24"/>
                <w:szCs w:val="24"/>
              </w:rPr>
              <w:t>(Wortart; Flexionsklasse) – Etymologie –</w:t>
            </w:r>
            <w:r w:rsidRPr="00271CCE">
              <w:rPr>
                <w:sz w:val="24"/>
                <w:szCs w:val="24"/>
              </w:rPr>
              <w:t xml:space="preserve"> Zeitpunkt der grammatischen/</w:t>
            </w:r>
            <w:r w:rsidR="00C92616">
              <w:rPr>
                <w:sz w:val="24"/>
                <w:szCs w:val="24"/>
              </w:rPr>
              <w:t xml:space="preserve"> </w:t>
            </w:r>
            <w:r w:rsidRPr="00271CCE">
              <w:rPr>
                <w:sz w:val="24"/>
                <w:szCs w:val="24"/>
              </w:rPr>
              <w:t>orthographischen Integration</w:t>
            </w:r>
          </w:p>
        </w:tc>
        <w:tc>
          <w:tcPr>
            <w:tcW w:w="4036" w:type="dxa"/>
            <w:tcBorders>
              <w:top w:val="nil"/>
              <w:left w:val="nil"/>
              <w:bottom w:val="nil"/>
              <w:right w:val="nil"/>
            </w:tcBorders>
            <w:shd w:val="clear" w:color="auto" w:fill="auto"/>
          </w:tcPr>
          <w:p w:rsidR="0095493E" w:rsidRPr="00271CCE" w:rsidRDefault="0095493E" w:rsidP="0095493E">
            <w:pPr>
              <w:jc w:val="both"/>
              <w:rPr>
                <w:sz w:val="24"/>
                <w:szCs w:val="24"/>
              </w:rPr>
            </w:pPr>
            <w:proofErr w:type="spellStart"/>
            <w:r w:rsidRPr="00271CCE">
              <w:rPr>
                <w:b/>
                <w:sz w:val="24"/>
                <w:szCs w:val="24"/>
                <w:shd w:val="clear" w:color="auto" w:fill="BDD6EE" w:themeFill="accent1" w:themeFillTint="66"/>
              </w:rPr>
              <w:t>Lemmaansatz</w:t>
            </w:r>
            <w:proofErr w:type="spellEnd"/>
          </w:p>
          <w:p w:rsidR="0095493E" w:rsidRPr="0095493E" w:rsidRDefault="0095493E" w:rsidP="008B18EB">
            <w:pPr>
              <w:spacing w:after="60" w:line="200" w:lineRule="exact"/>
            </w:pPr>
            <w:r w:rsidRPr="0095493E">
              <w:t xml:space="preserve">Stichwort </w:t>
            </w:r>
            <w:r w:rsidRPr="0095493E">
              <w:rPr>
                <w:rFonts w:cstheme="minorHAnsi"/>
              </w:rPr>
              <w:t>[</w:t>
            </w:r>
            <w:r w:rsidRPr="0095493E">
              <w:t>Nennform, ggf. Kurzform bzw. movierte Form</w:t>
            </w:r>
            <w:r w:rsidRPr="0095493E">
              <w:rPr>
                <w:rFonts w:cstheme="minorHAnsi"/>
              </w:rPr>
              <w:t>]</w:t>
            </w:r>
          </w:p>
          <w:p w:rsidR="0095493E" w:rsidRPr="00271CCE" w:rsidRDefault="0095493E" w:rsidP="0095493E">
            <w:pPr>
              <w:jc w:val="both"/>
              <w:rPr>
                <w:sz w:val="24"/>
                <w:szCs w:val="24"/>
              </w:rPr>
            </w:pPr>
            <w:r w:rsidRPr="00271CCE">
              <w:rPr>
                <w:sz w:val="24"/>
                <w:szCs w:val="24"/>
                <w:shd w:val="clear" w:color="auto" w:fill="A8D08D" w:themeFill="accent6" w:themeFillTint="99"/>
              </w:rPr>
              <w:t>grammatische Varianten</w:t>
            </w:r>
          </w:p>
          <w:p w:rsidR="0095493E" w:rsidRPr="0095493E" w:rsidRDefault="0095493E" w:rsidP="008B18EB">
            <w:pPr>
              <w:spacing w:after="60" w:line="200" w:lineRule="exact"/>
            </w:pPr>
            <w:r w:rsidRPr="0095493E">
              <w:t xml:space="preserve">[(lautliche) Nebenformen (NF); morphologische Varianten (z.B. </w:t>
            </w:r>
            <w:proofErr w:type="spellStart"/>
            <w:r w:rsidRPr="0095493E">
              <w:t>Konfixe</w:t>
            </w:r>
            <w:proofErr w:type="spellEnd"/>
            <w:r w:rsidRPr="0095493E">
              <w:t>)]</w:t>
            </w:r>
          </w:p>
          <w:p w:rsidR="0089156D" w:rsidRDefault="0095493E" w:rsidP="0095493E">
            <w:pPr>
              <w:spacing w:after="120"/>
              <w:rPr>
                <w:sz w:val="24"/>
                <w:szCs w:val="24"/>
              </w:rPr>
            </w:pPr>
            <w:proofErr w:type="spellStart"/>
            <w:r w:rsidRPr="00271CCE">
              <w:rPr>
                <w:sz w:val="24"/>
                <w:szCs w:val="24"/>
                <w:shd w:val="clear" w:color="auto" w:fill="FFE599" w:themeFill="accent4" w:themeFillTint="66"/>
              </w:rPr>
              <w:t>Sublemma</w:t>
            </w:r>
            <w:proofErr w:type="spellEnd"/>
            <w:r w:rsidRPr="00271CCE">
              <w:rPr>
                <w:sz w:val="24"/>
                <w:szCs w:val="24"/>
                <w:shd w:val="clear" w:color="auto" w:fill="FFE599" w:themeFill="accent4" w:themeFillTint="66"/>
              </w:rPr>
              <w:t>(</w:t>
            </w:r>
            <w:proofErr w:type="spellStart"/>
            <w:r w:rsidRPr="00271CCE">
              <w:rPr>
                <w:sz w:val="24"/>
                <w:szCs w:val="24"/>
                <w:shd w:val="clear" w:color="auto" w:fill="FFE599" w:themeFill="accent4" w:themeFillTint="66"/>
              </w:rPr>
              <w:t>ta</w:t>
            </w:r>
            <w:proofErr w:type="spellEnd"/>
            <w:r w:rsidRPr="00271CCE">
              <w:rPr>
                <w:sz w:val="24"/>
                <w:szCs w:val="24"/>
                <w:shd w:val="clear" w:color="auto" w:fill="FFE599" w:themeFill="accent4" w:themeFillTint="66"/>
              </w:rPr>
              <w:t>)</w:t>
            </w:r>
          </w:p>
        </w:tc>
      </w:tr>
      <w:tr w:rsidR="0089156D" w:rsidTr="00042447">
        <w:tc>
          <w:tcPr>
            <w:tcW w:w="988" w:type="dxa"/>
            <w:tcBorders>
              <w:top w:val="nil"/>
              <w:left w:val="nil"/>
              <w:bottom w:val="nil"/>
              <w:right w:val="nil"/>
            </w:tcBorders>
            <w:shd w:val="clear" w:color="auto" w:fill="F2F2F2" w:themeFill="background1" w:themeFillShade="F2"/>
            <w:tcMar>
              <w:left w:w="0" w:type="dxa"/>
              <w:right w:w="0" w:type="dxa"/>
            </w:tcMar>
          </w:tcPr>
          <w:p w:rsidR="0089156D" w:rsidRDefault="0095493E" w:rsidP="0089156D">
            <w:pPr>
              <w:rPr>
                <w:sz w:val="24"/>
                <w:szCs w:val="24"/>
              </w:rPr>
            </w:pPr>
            <w:r>
              <w:rPr>
                <w:sz w:val="24"/>
                <w:szCs w:val="24"/>
              </w:rPr>
              <w:t>Position 2</w:t>
            </w:r>
          </w:p>
        </w:tc>
        <w:tc>
          <w:tcPr>
            <w:tcW w:w="4036" w:type="dxa"/>
            <w:tcBorders>
              <w:top w:val="nil"/>
              <w:left w:val="nil"/>
              <w:bottom w:val="nil"/>
              <w:right w:val="nil"/>
            </w:tcBorders>
            <w:shd w:val="clear" w:color="auto" w:fill="auto"/>
          </w:tcPr>
          <w:p w:rsidR="0089156D" w:rsidRDefault="0095493E" w:rsidP="000B46DF">
            <w:pPr>
              <w:spacing w:after="120"/>
              <w:rPr>
                <w:sz w:val="24"/>
                <w:szCs w:val="24"/>
              </w:rPr>
            </w:pPr>
            <w:r w:rsidRPr="00271CCE">
              <w:rPr>
                <w:sz w:val="24"/>
                <w:szCs w:val="24"/>
                <w:shd w:val="clear" w:color="auto" w:fill="AEAAAA" w:themeFill="background2" w:themeFillShade="BF"/>
              </w:rPr>
              <w:t>Wortpragmatik</w:t>
            </w:r>
            <w:r w:rsidR="00C92616">
              <w:rPr>
                <w:sz w:val="24"/>
                <w:szCs w:val="24"/>
              </w:rPr>
              <w:t xml:space="preserve"> – </w:t>
            </w:r>
            <w:r w:rsidRPr="00B37716">
              <w:rPr>
                <w:sz w:val="24"/>
                <w:szCs w:val="24"/>
                <w:shd w:val="clear" w:color="auto" w:fill="F4B083" w:themeFill="accent2" w:themeFillTint="99"/>
              </w:rPr>
              <w:t>Bedeutungs</w:t>
            </w:r>
            <w:r w:rsidR="00C92616">
              <w:rPr>
                <w:sz w:val="24"/>
                <w:szCs w:val="24"/>
                <w:shd w:val="clear" w:color="auto" w:fill="F4B083" w:themeFill="accent2" w:themeFillTint="99"/>
              </w:rPr>
              <w:softHyphen/>
            </w:r>
            <w:r w:rsidRPr="00B37716">
              <w:rPr>
                <w:sz w:val="24"/>
                <w:szCs w:val="24"/>
                <w:shd w:val="clear" w:color="auto" w:fill="F4B083" w:themeFill="accent2" w:themeFillTint="99"/>
              </w:rPr>
              <w:t>erläuterungen</w:t>
            </w:r>
            <w:r w:rsidR="00C92616">
              <w:rPr>
                <w:sz w:val="24"/>
                <w:szCs w:val="24"/>
              </w:rPr>
              <w:t xml:space="preserve"> – semantische Relationen – </w:t>
            </w:r>
            <w:proofErr w:type="spellStart"/>
            <w:r w:rsidRPr="00B37716">
              <w:rPr>
                <w:sz w:val="24"/>
                <w:szCs w:val="24"/>
                <w:shd w:val="clear" w:color="auto" w:fill="E2EFD9" w:themeFill="accent6" w:themeFillTint="33"/>
              </w:rPr>
              <w:t>Syntagmatik</w:t>
            </w:r>
            <w:proofErr w:type="spellEnd"/>
            <w:r w:rsidR="00C92616">
              <w:rPr>
                <w:sz w:val="24"/>
                <w:szCs w:val="24"/>
              </w:rPr>
              <w:t xml:space="preserve"> –</w:t>
            </w:r>
            <w:r w:rsidRPr="00271CCE">
              <w:rPr>
                <w:sz w:val="24"/>
                <w:szCs w:val="24"/>
              </w:rPr>
              <w:t xml:space="preserve"> </w:t>
            </w:r>
            <w:r w:rsidRPr="00B37716">
              <w:rPr>
                <w:sz w:val="24"/>
                <w:szCs w:val="24"/>
                <w:shd w:val="clear" w:color="auto" w:fill="FF99FF"/>
              </w:rPr>
              <w:t>Wortbildung</w:t>
            </w:r>
            <w:r w:rsidR="00FA4730">
              <w:rPr>
                <w:sz w:val="24"/>
                <w:szCs w:val="24"/>
                <w:shd w:val="clear" w:color="auto" w:fill="FF99FF"/>
              </w:rPr>
              <w:t xml:space="preserve"> (</w:t>
            </w:r>
            <w:proofErr w:type="spellStart"/>
            <w:r w:rsidR="00FA4730">
              <w:rPr>
                <w:sz w:val="24"/>
                <w:szCs w:val="24"/>
                <w:shd w:val="clear" w:color="auto" w:fill="FF99FF"/>
              </w:rPr>
              <w:t>Zss</w:t>
            </w:r>
            <w:proofErr w:type="spellEnd"/>
            <w:r w:rsidR="00FA4730">
              <w:rPr>
                <w:sz w:val="24"/>
                <w:szCs w:val="24"/>
                <w:shd w:val="clear" w:color="auto" w:fill="FF99FF"/>
              </w:rPr>
              <w:t xml:space="preserve">.; </w:t>
            </w:r>
            <w:r w:rsidR="00FA4730" w:rsidRPr="00FA4730">
              <w:rPr>
                <w:sz w:val="24"/>
                <w:szCs w:val="24"/>
                <w:shd w:val="clear" w:color="auto" w:fill="FFE599" w:themeFill="accent4" w:themeFillTint="66"/>
              </w:rPr>
              <w:t>Derivativa*)</w:t>
            </w:r>
          </w:p>
        </w:tc>
        <w:tc>
          <w:tcPr>
            <w:tcW w:w="4036" w:type="dxa"/>
            <w:tcBorders>
              <w:top w:val="nil"/>
              <w:left w:val="nil"/>
              <w:bottom w:val="nil"/>
              <w:right w:val="nil"/>
            </w:tcBorders>
            <w:shd w:val="clear" w:color="auto" w:fill="auto"/>
          </w:tcPr>
          <w:p w:rsidR="00C92616" w:rsidRPr="00271CCE" w:rsidRDefault="00C92616" w:rsidP="00C92616">
            <w:pPr>
              <w:spacing w:after="30"/>
              <w:jc w:val="both"/>
              <w:rPr>
                <w:b/>
                <w:sz w:val="24"/>
                <w:szCs w:val="24"/>
              </w:rPr>
            </w:pPr>
            <w:r w:rsidRPr="00271CCE">
              <w:rPr>
                <w:b/>
                <w:sz w:val="24"/>
                <w:szCs w:val="24"/>
              </w:rPr>
              <w:t xml:space="preserve">Bedeutungsansatz </w:t>
            </w:r>
          </w:p>
          <w:p w:rsidR="0089156D" w:rsidRPr="00060D6F" w:rsidRDefault="00C92616" w:rsidP="00CC61D1">
            <w:pPr>
              <w:spacing w:line="240" w:lineRule="exact"/>
            </w:pPr>
            <w:r w:rsidRPr="00060D6F">
              <w:t>[</w:t>
            </w:r>
            <w:r w:rsidRPr="00060D6F">
              <w:rPr>
                <w:shd w:val="clear" w:color="auto" w:fill="AEAAAA" w:themeFill="background2" w:themeFillShade="BF"/>
              </w:rPr>
              <w:t>(pragmatische)</w:t>
            </w:r>
            <w:r w:rsidRPr="00060D6F">
              <w:t xml:space="preserve"> </w:t>
            </w:r>
            <w:r w:rsidRPr="00060D6F">
              <w:rPr>
                <w:shd w:val="clear" w:color="auto" w:fill="AEAAAA" w:themeFill="background2" w:themeFillShade="BF"/>
              </w:rPr>
              <w:t>Markierung</w:t>
            </w:r>
            <w:r w:rsidRPr="00060D6F">
              <w:t xml:space="preserve">; </w:t>
            </w:r>
            <w:r w:rsidRPr="00060D6F">
              <w:rPr>
                <w:shd w:val="clear" w:color="auto" w:fill="F4B083" w:themeFill="accent2" w:themeFillTint="99"/>
              </w:rPr>
              <w:t>zentrale Bedeutung(en)</w:t>
            </w:r>
            <w:r w:rsidRPr="00060D6F">
              <w:t xml:space="preserve">; </w:t>
            </w:r>
            <w:r w:rsidRPr="00060D6F">
              <w:rPr>
                <w:shd w:val="clear" w:color="auto" w:fill="E2EFD9" w:themeFill="accent6" w:themeFillTint="33"/>
              </w:rPr>
              <w:t>(phraseologische)</w:t>
            </w:r>
            <w:r w:rsidRPr="00060D6F">
              <w:t xml:space="preserve"> </w:t>
            </w:r>
            <w:r w:rsidRPr="00060D6F">
              <w:rPr>
                <w:shd w:val="clear" w:color="auto" w:fill="E2EFD9" w:themeFill="accent6" w:themeFillTint="33"/>
              </w:rPr>
              <w:t>Syntagmen</w:t>
            </w:r>
            <w:r w:rsidRPr="00060D6F">
              <w:t xml:space="preserve">*; </w:t>
            </w:r>
            <w:r w:rsidRPr="00060D6F">
              <w:rPr>
                <w:shd w:val="clear" w:color="auto" w:fill="FF99FF"/>
              </w:rPr>
              <w:t>Wortbildung</w:t>
            </w:r>
            <w:r w:rsidR="00FA4730" w:rsidRPr="00060D6F">
              <w:rPr>
                <w:shd w:val="clear" w:color="auto" w:fill="FF99FF"/>
              </w:rPr>
              <w:t xml:space="preserve"> (</w:t>
            </w:r>
            <w:proofErr w:type="spellStart"/>
            <w:r w:rsidR="00FA4730" w:rsidRPr="00060D6F">
              <w:rPr>
                <w:shd w:val="clear" w:color="auto" w:fill="FF99FF"/>
              </w:rPr>
              <w:t>Zss</w:t>
            </w:r>
            <w:proofErr w:type="spellEnd"/>
            <w:r w:rsidR="00FA4730" w:rsidRPr="00060D6F">
              <w:rPr>
                <w:shd w:val="clear" w:color="auto" w:fill="FF99FF"/>
              </w:rPr>
              <w:t>.)</w:t>
            </w:r>
            <w:r w:rsidRPr="00060D6F">
              <w:t>*]</w:t>
            </w:r>
          </w:p>
        </w:tc>
      </w:tr>
      <w:tr w:rsidR="0060298E" w:rsidTr="00042447">
        <w:tc>
          <w:tcPr>
            <w:tcW w:w="988" w:type="dxa"/>
            <w:tcBorders>
              <w:top w:val="nil"/>
              <w:left w:val="nil"/>
              <w:bottom w:val="threeDEmboss" w:sz="24" w:space="0" w:color="auto"/>
              <w:right w:val="nil"/>
            </w:tcBorders>
            <w:shd w:val="clear" w:color="auto" w:fill="F2F2F2" w:themeFill="background1" w:themeFillShade="F2"/>
            <w:tcMar>
              <w:left w:w="0" w:type="dxa"/>
              <w:right w:w="0" w:type="dxa"/>
            </w:tcMar>
          </w:tcPr>
          <w:p w:rsidR="0089156D" w:rsidRDefault="00C92616" w:rsidP="00C92616">
            <w:pPr>
              <w:spacing w:after="120"/>
              <w:rPr>
                <w:sz w:val="24"/>
                <w:szCs w:val="24"/>
              </w:rPr>
            </w:pPr>
            <w:r>
              <w:rPr>
                <w:sz w:val="24"/>
                <w:szCs w:val="24"/>
              </w:rPr>
              <w:t>Position 3</w:t>
            </w:r>
          </w:p>
        </w:tc>
        <w:tc>
          <w:tcPr>
            <w:tcW w:w="4036" w:type="dxa"/>
            <w:tcBorders>
              <w:top w:val="nil"/>
              <w:left w:val="nil"/>
              <w:bottom w:val="threeDEmboss" w:sz="24" w:space="0" w:color="auto"/>
              <w:right w:val="nil"/>
            </w:tcBorders>
            <w:shd w:val="clear" w:color="auto" w:fill="auto"/>
          </w:tcPr>
          <w:p w:rsidR="0089156D" w:rsidRDefault="00C92616" w:rsidP="00C92616">
            <w:pPr>
              <w:spacing w:after="120"/>
              <w:rPr>
                <w:sz w:val="24"/>
                <w:szCs w:val="24"/>
              </w:rPr>
            </w:pPr>
            <w:r>
              <w:rPr>
                <w:sz w:val="24"/>
                <w:szCs w:val="24"/>
              </w:rPr>
              <w:t>Belegteil</w:t>
            </w:r>
          </w:p>
        </w:tc>
        <w:tc>
          <w:tcPr>
            <w:tcW w:w="4036" w:type="dxa"/>
            <w:tcBorders>
              <w:top w:val="nil"/>
              <w:left w:val="nil"/>
              <w:bottom w:val="threeDEmboss" w:sz="24" w:space="0" w:color="auto"/>
              <w:right w:val="nil"/>
            </w:tcBorders>
            <w:shd w:val="clear" w:color="auto" w:fill="auto"/>
          </w:tcPr>
          <w:p w:rsidR="0089156D" w:rsidRDefault="0089156D" w:rsidP="00C92616">
            <w:pPr>
              <w:spacing w:after="120"/>
              <w:rPr>
                <w:sz w:val="24"/>
                <w:szCs w:val="24"/>
              </w:rPr>
            </w:pPr>
          </w:p>
        </w:tc>
      </w:tr>
      <w:tr w:rsidR="0089156D" w:rsidTr="00042447">
        <w:tc>
          <w:tcPr>
            <w:tcW w:w="988" w:type="dxa"/>
            <w:tcBorders>
              <w:top w:val="threeDEmboss" w:sz="24" w:space="0" w:color="auto"/>
              <w:left w:val="nil"/>
              <w:bottom w:val="nil"/>
              <w:right w:val="nil"/>
            </w:tcBorders>
            <w:shd w:val="clear" w:color="auto" w:fill="F2F2F2" w:themeFill="background1" w:themeFillShade="F2"/>
            <w:tcMar>
              <w:left w:w="0" w:type="dxa"/>
              <w:right w:w="0" w:type="dxa"/>
            </w:tcMar>
          </w:tcPr>
          <w:p w:rsidR="0089156D" w:rsidRDefault="00C92616" w:rsidP="00C92616">
            <w:pPr>
              <w:spacing w:before="120"/>
              <w:jc w:val="right"/>
              <w:rPr>
                <w:sz w:val="24"/>
                <w:szCs w:val="24"/>
              </w:rPr>
            </w:pPr>
            <w:r>
              <w:rPr>
                <w:sz w:val="24"/>
                <w:szCs w:val="24"/>
              </w:rPr>
              <w:t>Anm.</w:t>
            </w:r>
          </w:p>
        </w:tc>
        <w:tc>
          <w:tcPr>
            <w:tcW w:w="4036" w:type="dxa"/>
            <w:tcBorders>
              <w:top w:val="threeDEmboss" w:sz="24" w:space="0" w:color="auto"/>
              <w:left w:val="nil"/>
              <w:bottom w:val="nil"/>
              <w:right w:val="nil"/>
            </w:tcBorders>
            <w:shd w:val="clear" w:color="auto" w:fill="auto"/>
          </w:tcPr>
          <w:p w:rsidR="0089156D" w:rsidRDefault="00FA4730" w:rsidP="00FA4730">
            <w:pPr>
              <w:spacing w:before="160" w:after="120" w:line="210" w:lineRule="exact"/>
              <w:rPr>
                <w:sz w:val="24"/>
                <w:szCs w:val="24"/>
              </w:rPr>
            </w:pPr>
            <w:r>
              <w:t xml:space="preserve">* Derivativa (= als </w:t>
            </w:r>
            <w:r w:rsidR="00C92616" w:rsidRPr="00B37716">
              <w:t xml:space="preserve">Sublemmata </w:t>
            </w:r>
            <w:r>
              <w:t xml:space="preserve">angesetzt) </w:t>
            </w:r>
            <w:r w:rsidR="00C92616" w:rsidRPr="00B37716">
              <w:t>werden erst i</w:t>
            </w:r>
            <w:r>
              <w:t>n den jüngeren Bänden gebündelt für alle Bedeutungsansätze</w:t>
            </w:r>
            <w:r w:rsidR="00C92616" w:rsidRPr="00B37716">
              <w:t xml:space="preserve"> am Ende des Artikelkopfes angeführt, zuvor z</w:t>
            </w:r>
            <w:r w:rsidR="00C22203">
              <w:t>.</w:t>
            </w:r>
            <w:r w:rsidR="00C92616" w:rsidRPr="00B37716">
              <w:t>T</w:t>
            </w:r>
            <w:r w:rsidR="00C22203">
              <w:t>.</w:t>
            </w:r>
            <w:r w:rsidR="00C92616" w:rsidRPr="00B37716">
              <w:t xml:space="preserve"> direkt an </w:t>
            </w:r>
            <w:r w:rsidR="000B46DF">
              <w:t>einzelne Bedeutungsansätze</w:t>
            </w:r>
            <w:r w:rsidR="00C92616" w:rsidRPr="00B37716">
              <w:t xml:space="preserve"> angeschlossen</w:t>
            </w:r>
          </w:p>
        </w:tc>
        <w:tc>
          <w:tcPr>
            <w:tcW w:w="4036" w:type="dxa"/>
            <w:tcBorders>
              <w:top w:val="threeDEmboss" w:sz="24" w:space="0" w:color="auto"/>
              <w:left w:val="nil"/>
              <w:bottom w:val="nil"/>
              <w:right w:val="nil"/>
            </w:tcBorders>
            <w:shd w:val="clear" w:color="auto" w:fill="auto"/>
          </w:tcPr>
          <w:p w:rsidR="0089156D" w:rsidRPr="009B03A7" w:rsidRDefault="002F3CA4" w:rsidP="00FA4730">
            <w:pPr>
              <w:spacing w:before="160" w:line="210" w:lineRule="exact"/>
            </w:pPr>
            <w:r>
              <w:t xml:space="preserve">* </w:t>
            </w:r>
            <w:r w:rsidR="00693A93">
              <w:t>kriteriengeleitete</w:t>
            </w:r>
            <w:bookmarkStart w:id="0" w:name="_GoBack"/>
            <w:bookmarkEnd w:id="0"/>
            <w:r w:rsidR="00693A93">
              <w:t xml:space="preserve"> Auswahl</w:t>
            </w:r>
          </w:p>
        </w:tc>
      </w:tr>
    </w:tbl>
    <w:p w:rsidR="00A61BFA" w:rsidRPr="0032776A" w:rsidRDefault="0032776A" w:rsidP="0032776A">
      <w:pPr>
        <w:spacing w:before="120" w:after="0"/>
      </w:pPr>
      <w:r w:rsidRPr="0032776A">
        <w:rPr>
          <w:rFonts w:cstheme="minorHAnsi"/>
        </w:rPr>
        <w:t>[</w:t>
      </w:r>
      <w:r w:rsidR="00230435" w:rsidRPr="0032776A">
        <w:t>G. Strauß</w:t>
      </w:r>
      <w:r w:rsidR="004D309B">
        <w:t xml:space="preserve"> 1995, </w:t>
      </w:r>
      <w:r w:rsidRPr="0032776A">
        <w:t>Lexikographische Einführung</w:t>
      </w:r>
      <w:r>
        <w:t xml:space="preserve"> zu Bd. 1 </w:t>
      </w:r>
      <w:r>
        <w:rPr>
          <w:vertAlign w:val="superscript"/>
        </w:rPr>
        <w:t>2</w:t>
      </w:r>
      <w:r>
        <w:t>DFWB, 8*-52*</w:t>
      </w:r>
      <w:r>
        <w:rPr>
          <w:rFonts w:cstheme="minorHAnsi"/>
        </w:rPr>
        <w:t>]</w:t>
      </w:r>
      <w:r w:rsidRPr="0032776A">
        <w:t xml:space="preserve"> </w:t>
      </w:r>
      <w:r w:rsidR="00A61BFA" w:rsidRPr="0032776A">
        <w:br w:type="page"/>
      </w:r>
    </w:p>
    <w:p w:rsidR="00A61BFA" w:rsidRDefault="00A61BFA" w:rsidP="009651C0">
      <w:pPr>
        <w:jc w:val="center"/>
        <w:rPr>
          <w:sz w:val="28"/>
          <w:szCs w:val="28"/>
        </w:rPr>
        <w:sectPr w:rsidR="00A61BFA" w:rsidSect="00DC1A9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titlePg/>
          <w:docGrid w:linePitch="360"/>
        </w:sectPr>
      </w:pPr>
    </w:p>
    <w:p w:rsidR="009651C0" w:rsidRPr="009651C0" w:rsidRDefault="00816805" w:rsidP="007874D0">
      <w:pPr>
        <w:rPr>
          <w:sz w:val="28"/>
          <w:szCs w:val="28"/>
        </w:rPr>
      </w:pPr>
      <w:r>
        <w:rPr>
          <w:sz w:val="28"/>
          <w:szCs w:val="28"/>
        </w:rPr>
        <w:lastRenderedPageBreak/>
        <w:t>Dokument 2</w:t>
      </w:r>
      <w:r w:rsidR="007874D0">
        <w:rPr>
          <w:sz w:val="28"/>
          <w:szCs w:val="28"/>
        </w:rPr>
        <w:t>: „</w:t>
      </w:r>
      <w:r w:rsidR="009651C0" w:rsidRPr="009651C0">
        <w:rPr>
          <w:sz w:val="28"/>
          <w:szCs w:val="28"/>
        </w:rPr>
        <w:t>Glosse</w:t>
      </w:r>
      <w:r w:rsidR="007874D0">
        <w:rPr>
          <w:sz w:val="28"/>
          <w:szCs w:val="28"/>
        </w:rPr>
        <w:t>“</w:t>
      </w:r>
      <w:r w:rsidR="009610D3">
        <w:rPr>
          <w:sz w:val="28"/>
          <w:szCs w:val="28"/>
        </w:rPr>
        <w:t xml:space="preserve"> in der Ansicht</w:t>
      </w:r>
      <w:r w:rsidR="009651C0" w:rsidRPr="009651C0">
        <w:rPr>
          <w:sz w:val="28"/>
          <w:szCs w:val="28"/>
        </w:rPr>
        <w:t xml:space="preserve"> als Vollartikel und als Artikelübersicht</w:t>
      </w:r>
    </w:p>
    <w:tbl>
      <w:tblPr>
        <w:tblStyle w:val="Tabellenraster"/>
        <w:tblW w:w="14471" w:type="dxa"/>
        <w:tblLook w:val="04A0" w:firstRow="1" w:lastRow="0" w:firstColumn="1" w:lastColumn="0" w:noHBand="0" w:noVBand="1"/>
      </w:tblPr>
      <w:tblGrid>
        <w:gridCol w:w="7825"/>
        <w:gridCol w:w="444"/>
        <w:gridCol w:w="6202"/>
      </w:tblGrid>
      <w:tr w:rsidR="00AE5947" w:rsidRPr="00AE5947" w:rsidTr="00AD56FF">
        <w:tc>
          <w:tcPr>
            <w:tcW w:w="7825" w:type="dxa"/>
            <w:tcBorders>
              <w:bottom w:val="single" w:sz="4" w:space="0" w:color="auto"/>
            </w:tcBorders>
            <w:shd w:val="clear" w:color="auto" w:fill="F2F2F2" w:themeFill="background1" w:themeFillShade="F2"/>
          </w:tcPr>
          <w:p w:rsidR="00AE5947" w:rsidRPr="00574EC1" w:rsidRDefault="00AE5947" w:rsidP="00AE5947">
            <w:pPr>
              <w:spacing w:before="60" w:after="120"/>
              <w:rPr>
                <w:b/>
                <w:bCs/>
                <w:sz w:val="24"/>
                <w:szCs w:val="24"/>
              </w:rPr>
            </w:pPr>
            <w:r w:rsidRPr="00574EC1">
              <w:rPr>
                <w:sz w:val="24"/>
                <w:szCs w:val="24"/>
              </w:rPr>
              <w:t>Vollartikel</w:t>
            </w:r>
            <w:r w:rsidR="00E63E23" w:rsidRPr="00574EC1">
              <w:rPr>
                <w:sz w:val="24"/>
                <w:szCs w:val="24"/>
              </w:rPr>
              <w:t xml:space="preserve"> (O</w:t>
            </w:r>
            <w:r w:rsidRPr="00574EC1">
              <w:rPr>
                <w:sz w:val="24"/>
                <w:szCs w:val="24"/>
              </w:rPr>
              <w:t>nline</w:t>
            </w:r>
            <w:r w:rsidR="00E63E23" w:rsidRPr="00574EC1">
              <w:rPr>
                <w:sz w:val="24"/>
                <w:szCs w:val="24"/>
              </w:rPr>
              <w:t>version</w:t>
            </w:r>
            <w:r w:rsidR="003D0374">
              <w:rPr>
                <w:sz w:val="24"/>
                <w:szCs w:val="24"/>
              </w:rPr>
              <w:t>, s.</w:t>
            </w:r>
            <w:r w:rsidR="00AD56FF">
              <w:rPr>
                <w:sz w:val="24"/>
                <w:szCs w:val="24"/>
              </w:rPr>
              <w:t xml:space="preserve"> </w:t>
            </w:r>
            <w:r w:rsidR="00AD56FF" w:rsidRPr="00E75612">
              <w:rPr>
                <w:sz w:val="24"/>
                <w:szCs w:val="24"/>
              </w:rPr>
              <w:t>https://www.owid.de/artikel/406619</w:t>
            </w:r>
            <w:r w:rsidR="00AD56FF">
              <w:rPr>
                <w:sz w:val="24"/>
                <w:szCs w:val="24"/>
              </w:rPr>
              <w:t>)</w:t>
            </w:r>
          </w:p>
        </w:tc>
        <w:tc>
          <w:tcPr>
            <w:tcW w:w="444" w:type="dxa"/>
            <w:tcBorders>
              <w:bottom w:val="single" w:sz="4" w:space="0" w:color="auto"/>
              <w:right w:val="nil"/>
            </w:tcBorders>
            <w:shd w:val="clear" w:color="auto" w:fill="F2F2F2" w:themeFill="background1" w:themeFillShade="F2"/>
          </w:tcPr>
          <w:p w:rsidR="00AE5947" w:rsidRPr="00574EC1" w:rsidRDefault="00AE5947" w:rsidP="00AE5947">
            <w:pPr>
              <w:spacing w:before="60" w:after="120"/>
              <w:rPr>
                <w:sz w:val="24"/>
                <w:szCs w:val="24"/>
              </w:rPr>
            </w:pPr>
          </w:p>
        </w:tc>
        <w:tc>
          <w:tcPr>
            <w:tcW w:w="6202" w:type="dxa"/>
            <w:tcBorders>
              <w:left w:val="nil"/>
              <w:bottom w:val="single" w:sz="4" w:space="0" w:color="auto"/>
            </w:tcBorders>
            <w:shd w:val="clear" w:color="auto" w:fill="F2F2F2" w:themeFill="background1" w:themeFillShade="F2"/>
          </w:tcPr>
          <w:p w:rsidR="00AE5947" w:rsidRPr="00574EC1" w:rsidRDefault="00AE5947" w:rsidP="00AE5947">
            <w:pPr>
              <w:spacing w:before="60" w:after="120"/>
              <w:rPr>
                <w:b/>
                <w:bCs/>
                <w:sz w:val="24"/>
                <w:szCs w:val="24"/>
              </w:rPr>
            </w:pPr>
            <w:r w:rsidRPr="00574EC1">
              <w:rPr>
                <w:sz w:val="24"/>
                <w:szCs w:val="24"/>
              </w:rPr>
              <w:t>Artikelübersicht</w:t>
            </w:r>
          </w:p>
        </w:tc>
      </w:tr>
      <w:tr w:rsidR="00AE5947" w:rsidTr="00AD56FF">
        <w:tc>
          <w:tcPr>
            <w:tcW w:w="7825" w:type="dxa"/>
            <w:tcBorders>
              <w:bottom w:val="nil"/>
            </w:tcBorders>
          </w:tcPr>
          <w:p w:rsidR="00AE5947" w:rsidRPr="00F03829" w:rsidRDefault="00AE5947" w:rsidP="000500A3">
            <w:pPr>
              <w:spacing w:before="60"/>
              <w:rPr>
                <w:rStyle w:val="gl"/>
                <w:color w:val="FFFFFF" w:themeColor="background1"/>
                <w:shd w:val="clear" w:color="auto" w:fill="8EAADB" w:themeFill="accent5" w:themeFillTint="99"/>
              </w:rPr>
            </w:pPr>
            <w:r>
              <w:rPr>
                <w:b/>
                <w:bCs/>
                <w:sz w:val="24"/>
                <w:szCs w:val="24"/>
              </w:rPr>
              <w:t>Glosse</w:t>
            </w:r>
          </w:p>
        </w:tc>
        <w:tc>
          <w:tcPr>
            <w:tcW w:w="444" w:type="dxa"/>
            <w:tcBorders>
              <w:bottom w:val="nil"/>
              <w:right w:val="nil"/>
            </w:tcBorders>
          </w:tcPr>
          <w:p w:rsidR="00AE5947" w:rsidRPr="003B4803" w:rsidRDefault="00AE5947"/>
        </w:tc>
        <w:tc>
          <w:tcPr>
            <w:tcW w:w="6202" w:type="dxa"/>
            <w:tcBorders>
              <w:left w:val="nil"/>
              <w:bottom w:val="nil"/>
            </w:tcBorders>
          </w:tcPr>
          <w:p w:rsidR="00AE5947" w:rsidRPr="003B4803" w:rsidRDefault="00AE5947" w:rsidP="000500A3">
            <w:pPr>
              <w:spacing w:before="60" w:after="120"/>
              <w:rPr>
                <w:bCs/>
                <w:i/>
                <w:shd w:val="clear" w:color="auto" w:fill="EDEDED" w:themeFill="accent3" w:themeFillTint="33"/>
              </w:rPr>
            </w:pPr>
            <w:r>
              <w:rPr>
                <w:b/>
                <w:bCs/>
                <w:sz w:val="24"/>
                <w:szCs w:val="24"/>
              </w:rPr>
              <w:t>Glosse</w:t>
            </w:r>
          </w:p>
        </w:tc>
      </w:tr>
      <w:tr w:rsidR="003816F0" w:rsidTr="00AD56FF">
        <w:trPr>
          <w:trHeight w:val="315"/>
        </w:trPr>
        <w:tc>
          <w:tcPr>
            <w:tcW w:w="7825" w:type="dxa"/>
            <w:vMerge w:val="restart"/>
            <w:tcBorders>
              <w:top w:val="nil"/>
            </w:tcBorders>
          </w:tcPr>
          <w:p w:rsidR="003816F0" w:rsidRPr="00F03829" w:rsidRDefault="003816F0" w:rsidP="003816F0">
            <w:pPr>
              <w:spacing w:after="120"/>
              <w:rPr>
                <w:rStyle w:val="gl"/>
                <w:color w:val="FFFFFF" w:themeColor="background1"/>
                <w:shd w:val="clear" w:color="auto" w:fill="8EAADB" w:themeFill="accent5" w:themeFillTint="99"/>
              </w:rPr>
            </w:pPr>
            <w:r>
              <w:t xml:space="preserve">F. (-; -n), Anfang 13. Jh. entlehnt aus </w:t>
            </w:r>
            <w:proofErr w:type="spellStart"/>
            <w:r>
              <w:t>mlat</w:t>
            </w:r>
            <w:proofErr w:type="spellEnd"/>
            <w:r>
              <w:t xml:space="preserve">. </w:t>
            </w:r>
            <w:proofErr w:type="spellStart"/>
            <w:r>
              <w:rPr>
                <w:i/>
                <w:iCs/>
              </w:rPr>
              <w:t>glosa</w:t>
            </w:r>
            <w:proofErr w:type="spellEnd"/>
            <w:r>
              <w:t xml:space="preserve">, lat. </w:t>
            </w:r>
            <w:proofErr w:type="spellStart"/>
            <w:r>
              <w:rPr>
                <w:i/>
                <w:iCs/>
              </w:rPr>
              <w:t>glossa</w:t>
            </w:r>
            <w:proofErr w:type="spellEnd"/>
            <w:r>
              <w:t xml:space="preserve"> ‘veraltetes, fremdartiges und daher ungewöhnliches, ungebräuchliches, schwieriges Wort, das einer Erklärung durch ein bekanntes bedarf; erläuternde Erklärung, Deutung eines solchen Wortes’ (&lt; </w:t>
            </w:r>
            <w:proofErr w:type="spellStart"/>
            <w:r>
              <w:t>griech</w:t>
            </w:r>
            <w:proofErr w:type="spellEnd"/>
            <w:r>
              <w:t xml:space="preserve">. </w:t>
            </w:r>
            <w:proofErr w:type="spellStart"/>
            <w:r>
              <w:rPr>
                <w:rStyle w:val="gr"/>
              </w:rPr>
              <w:t>γλώσσ</w:t>
            </w:r>
            <w:proofErr w:type="spellEnd"/>
            <w:r>
              <w:rPr>
                <w:rStyle w:val="gr"/>
              </w:rPr>
              <w:t>α</w:t>
            </w:r>
            <w:r>
              <w:t xml:space="preserve"> ‘Zunge; Sprache; fremdartiges Wort’; vgl. daneben bei den römischen Grammatikern und Rhetorikern auf dasselbe Etymon zurückgehendes lat. </w:t>
            </w:r>
            <w:proofErr w:type="spellStart"/>
            <w:r>
              <w:rPr>
                <w:i/>
                <w:iCs/>
              </w:rPr>
              <w:t>glossema</w:t>
            </w:r>
            <w:proofErr w:type="spellEnd"/>
            <w:r>
              <w:rPr>
                <w:i/>
                <w:iCs/>
              </w:rPr>
              <w:t>/</w:t>
            </w:r>
            <w:proofErr w:type="spellStart"/>
            <w:r>
              <w:t>griech</w:t>
            </w:r>
            <w:proofErr w:type="spellEnd"/>
            <w:r>
              <w:t xml:space="preserve">. </w:t>
            </w:r>
            <w:proofErr w:type="spellStart"/>
            <w:r>
              <w:rPr>
                <w:rStyle w:val="gr"/>
              </w:rPr>
              <w:t>γλώσσημ</w:t>
            </w:r>
            <w:proofErr w:type="spellEnd"/>
            <w:r>
              <w:rPr>
                <w:rStyle w:val="gr"/>
              </w:rPr>
              <w:t>α</w:t>
            </w:r>
            <w:r>
              <w:t xml:space="preserve"> ‘ungebräuchliches, veraltetes, erklärungsbedürftiges Wort’, vgl. </w:t>
            </w:r>
            <w:r>
              <w:rPr>
                <w:i/>
                <w:iCs/>
              </w:rPr>
              <w:t>Glossem(</w:t>
            </w:r>
            <w:proofErr w:type="spellStart"/>
            <w:r>
              <w:rPr>
                <w:i/>
                <w:iCs/>
              </w:rPr>
              <w:t>atik</w:t>
            </w:r>
            <w:proofErr w:type="spellEnd"/>
            <w:r>
              <w:rPr>
                <w:i/>
                <w:iCs/>
              </w:rPr>
              <w:t>)</w:t>
            </w:r>
            <w:r>
              <w:t xml:space="preserve">; → Glossar; → polyglott; vgl. engl. </w:t>
            </w:r>
            <w:proofErr w:type="spellStart"/>
            <w:r>
              <w:rPr>
                <w:i/>
                <w:iCs/>
              </w:rPr>
              <w:t>gloss</w:t>
            </w:r>
            <w:proofErr w:type="spellEnd"/>
            <w:r>
              <w:t xml:space="preserve">, frz. </w:t>
            </w:r>
            <w:r>
              <w:rPr>
                <w:i/>
                <w:iCs/>
              </w:rPr>
              <w:t>glose</w:t>
            </w:r>
            <w:r>
              <w:t xml:space="preserve">, ital. </w:t>
            </w:r>
            <w:proofErr w:type="spellStart"/>
            <w:r>
              <w:rPr>
                <w:i/>
                <w:iCs/>
              </w:rPr>
              <w:t>glossa</w:t>
            </w:r>
            <w:proofErr w:type="spellEnd"/>
            <w:r>
              <w:t xml:space="preserve">, span. </w:t>
            </w:r>
            <w:proofErr w:type="spellStart"/>
            <w:r>
              <w:rPr>
                <w:i/>
                <w:iCs/>
              </w:rPr>
              <w:t>glosa</w:t>
            </w:r>
            <w:proofErr w:type="spellEnd"/>
            <w:r>
              <w:t xml:space="preserve">); anfangs in den Schreibungen (mhd.) </w:t>
            </w:r>
            <w:proofErr w:type="spellStart"/>
            <w:r>
              <w:rPr>
                <w:i/>
                <w:iCs/>
              </w:rPr>
              <w:t>glôs</w:t>
            </w:r>
            <w:proofErr w:type="spellEnd"/>
            <w:r>
              <w:rPr>
                <w:i/>
                <w:iCs/>
              </w:rPr>
              <w:t>(e)</w:t>
            </w:r>
            <w:r>
              <w:t xml:space="preserve">, </w:t>
            </w:r>
            <w:proofErr w:type="spellStart"/>
            <w:r>
              <w:rPr>
                <w:i/>
                <w:iCs/>
              </w:rPr>
              <w:t>glôß</w:t>
            </w:r>
            <w:proofErr w:type="spellEnd"/>
            <w:r>
              <w:t xml:space="preserve">, seit dem 17. Jh. zunehmend wieder in Anlehnung an das </w:t>
            </w:r>
            <w:proofErr w:type="spellStart"/>
            <w:r>
              <w:t>Griech</w:t>
            </w:r>
            <w:proofErr w:type="spellEnd"/>
            <w:r>
              <w:t>. und Lat. in der heutigen Form</w:t>
            </w:r>
            <w:r>
              <w:rPr>
                <w:i/>
                <w:iCs/>
              </w:rPr>
              <w:t>,</w:t>
            </w:r>
            <w:r>
              <w:t xml:space="preserve"> bis ins 18. Jh. auch in der lat. (</w:t>
            </w:r>
            <w:proofErr w:type="spellStart"/>
            <w:r>
              <w:t>flekt</w:t>
            </w:r>
            <w:proofErr w:type="spellEnd"/>
            <w:r>
              <w:t xml:space="preserve">.) Form </w:t>
            </w:r>
            <w:r>
              <w:rPr>
                <w:i/>
                <w:iCs/>
              </w:rPr>
              <w:t>Glos(s)a</w:t>
            </w:r>
            <w:r>
              <w:t xml:space="preserve"> und von Mitte 15. bis ins späte 18. Jh. gelegentlich in der Diminutivform </w:t>
            </w:r>
            <w:proofErr w:type="spellStart"/>
            <w:r>
              <w:rPr>
                <w:i/>
                <w:iCs/>
              </w:rPr>
              <w:t>Glössl</w:t>
            </w:r>
            <w:proofErr w:type="spellEnd"/>
            <w:r>
              <w:rPr>
                <w:i/>
                <w:iCs/>
              </w:rPr>
              <w:t xml:space="preserve">(e)in, </w:t>
            </w:r>
            <w:proofErr w:type="spellStart"/>
            <w:r>
              <w:rPr>
                <w:i/>
                <w:iCs/>
              </w:rPr>
              <w:t>Glößl</w:t>
            </w:r>
            <w:proofErr w:type="spellEnd"/>
            <w:r>
              <w:rPr>
                <w:i/>
                <w:iCs/>
              </w:rPr>
              <w:t>(e)in</w:t>
            </w:r>
            <w:r>
              <w:t>.</w:t>
            </w:r>
          </w:p>
        </w:tc>
        <w:tc>
          <w:tcPr>
            <w:tcW w:w="444" w:type="dxa"/>
            <w:vMerge w:val="restart"/>
            <w:tcBorders>
              <w:top w:val="nil"/>
              <w:right w:val="nil"/>
            </w:tcBorders>
          </w:tcPr>
          <w:p w:rsidR="003816F0" w:rsidRPr="00E63E23" w:rsidRDefault="003816F0"/>
        </w:tc>
        <w:tc>
          <w:tcPr>
            <w:tcW w:w="6202" w:type="dxa"/>
            <w:tcBorders>
              <w:top w:val="nil"/>
              <w:left w:val="nil"/>
              <w:bottom w:val="nil"/>
            </w:tcBorders>
          </w:tcPr>
          <w:p w:rsidR="003816F0" w:rsidRPr="00E63E23" w:rsidRDefault="003816F0">
            <w:pPr>
              <w:rPr>
                <w:bCs/>
                <w:i/>
                <w:shd w:val="clear" w:color="auto" w:fill="EDEDED" w:themeFill="accent3" w:themeFillTint="33"/>
              </w:rPr>
            </w:pPr>
            <w:r w:rsidRPr="00E63E23">
              <w:rPr>
                <w:bCs/>
                <w:i/>
              </w:rPr>
              <w:t xml:space="preserve">auch als </w:t>
            </w:r>
            <w:proofErr w:type="spellStart"/>
            <w:r w:rsidRPr="00E63E23">
              <w:rPr>
                <w:bCs/>
                <w:i/>
              </w:rPr>
              <w:t>Konfix</w:t>
            </w:r>
            <w:proofErr w:type="spellEnd"/>
            <w:r w:rsidRPr="00E63E23">
              <w:rPr>
                <w:bCs/>
                <w:i/>
              </w:rPr>
              <w:t xml:space="preserve">: </w:t>
            </w:r>
            <w:proofErr w:type="spellStart"/>
            <w:r w:rsidRPr="00E63E23">
              <w:rPr>
                <w:bCs/>
              </w:rPr>
              <w:t>Gloss</w:t>
            </w:r>
            <w:proofErr w:type="spellEnd"/>
            <w:r w:rsidRPr="00E63E23">
              <w:rPr>
                <w:bCs/>
              </w:rPr>
              <w:t xml:space="preserve">(o)-, </w:t>
            </w:r>
            <w:proofErr w:type="spellStart"/>
            <w:r w:rsidRPr="00E63E23">
              <w:rPr>
                <w:bCs/>
              </w:rPr>
              <w:t>gloss</w:t>
            </w:r>
            <w:proofErr w:type="spellEnd"/>
            <w:r w:rsidRPr="00E63E23">
              <w:rPr>
                <w:bCs/>
              </w:rPr>
              <w:t>(o)-</w:t>
            </w:r>
          </w:p>
        </w:tc>
      </w:tr>
      <w:tr w:rsidR="003816F0" w:rsidTr="00AD56FF">
        <w:trPr>
          <w:trHeight w:val="1730"/>
        </w:trPr>
        <w:tc>
          <w:tcPr>
            <w:tcW w:w="7825" w:type="dxa"/>
            <w:vMerge/>
            <w:tcBorders>
              <w:bottom w:val="nil"/>
            </w:tcBorders>
          </w:tcPr>
          <w:p w:rsidR="003816F0" w:rsidRDefault="003816F0"/>
        </w:tc>
        <w:tc>
          <w:tcPr>
            <w:tcW w:w="444" w:type="dxa"/>
            <w:vMerge/>
            <w:tcBorders>
              <w:bottom w:val="nil"/>
              <w:right w:val="nil"/>
            </w:tcBorders>
          </w:tcPr>
          <w:p w:rsidR="003816F0" w:rsidRPr="00E63E23" w:rsidRDefault="003816F0"/>
        </w:tc>
        <w:tc>
          <w:tcPr>
            <w:tcW w:w="6202" w:type="dxa"/>
            <w:tcBorders>
              <w:top w:val="nil"/>
              <w:left w:val="nil"/>
              <w:bottom w:val="nil"/>
            </w:tcBorders>
          </w:tcPr>
          <w:p w:rsidR="003816F0" w:rsidRPr="00E63E23" w:rsidRDefault="003816F0">
            <w:pPr>
              <w:rPr>
                <w:bCs/>
                <w:i/>
              </w:rPr>
            </w:pPr>
            <w:r w:rsidRPr="00E63E23">
              <w:rPr>
                <w:bCs/>
                <w:i/>
                <w:shd w:val="clear" w:color="auto" w:fill="FFFFFF" w:themeFill="background1"/>
              </w:rPr>
              <w:t xml:space="preserve">Sublemmata </w:t>
            </w:r>
            <w:r w:rsidRPr="00E63E23">
              <w:rPr>
                <w:bCs/>
                <w:shd w:val="clear" w:color="auto" w:fill="FFFFFF" w:themeFill="background1"/>
              </w:rPr>
              <w:t>Glossator (</w:t>
            </w:r>
            <w:r w:rsidRPr="00E63E23">
              <w:rPr>
                <w:bCs/>
                <w:i/>
                <w:shd w:val="clear" w:color="auto" w:fill="FFFFFF" w:themeFill="background1"/>
              </w:rPr>
              <w:t xml:space="preserve">zu </w:t>
            </w:r>
            <w:r w:rsidRPr="00E63E23">
              <w:rPr>
                <w:bCs/>
                <w:shd w:val="clear" w:color="auto" w:fill="FFFFFF" w:themeFill="background1"/>
              </w:rPr>
              <w:t xml:space="preserve">1a, 1b, 1c, 2c), </w:t>
            </w:r>
            <w:proofErr w:type="spellStart"/>
            <w:r w:rsidRPr="00E63E23">
              <w:rPr>
                <w:bCs/>
                <w:shd w:val="clear" w:color="auto" w:fill="FFFFFF" w:themeFill="background1"/>
              </w:rPr>
              <w:t>glossatorisch</w:t>
            </w:r>
            <w:proofErr w:type="spellEnd"/>
            <w:r w:rsidRPr="00E63E23">
              <w:rPr>
                <w:bCs/>
                <w:shd w:val="clear" w:color="auto" w:fill="FFFFFF" w:themeFill="background1"/>
              </w:rPr>
              <w:t xml:space="preserve"> (</w:t>
            </w:r>
            <w:r w:rsidRPr="00E63E23">
              <w:rPr>
                <w:bCs/>
                <w:i/>
                <w:shd w:val="clear" w:color="auto" w:fill="FFFFFF" w:themeFill="background1"/>
              </w:rPr>
              <w:t xml:space="preserve">zu </w:t>
            </w:r>
            <w:r w:rsidRPr="00E63E23">
              <w:rPr>
                <w:bCs/>
                <w:shd w:val="clear" w:color="auto" w:fill="FFFFFF" w:themeFill="background1"/>
              </w:rPr>
              <w:t xml:space="preserve">1a, 2c), </w:t>
            </w:r>
            <w:proofErr w:type="spellStart"/>
            <w:r w:rsidRPr="00E63E23">
              <w:rPr>
                <w:bCs/>
                <w:shd w:val="clear" w:color="auto" w:fill="FFFFFF" w:themeFill="background1"/>
              </w:rPr>
              <w:t>Glosseur</w:t>
            </w:r>
            <w:proofErr w:type="spellEnd"/>
            <w:r w:rsidRPr="00E63E23">
              <w:rPr>
                <w:bCs/>
                <w:shd w:val="clear" w:color="auto" w:fill="FFFFFF" w:themeFill="background1"/>
              </w:rPr>
              <w:t xml:space="preserve"> (</w:t>
            </w:r>
            <w:r w:rsidRPr="00E63E23">
              <w:rPr>
                <w:bCs/>
                <w:i/>
                <w:shd w:val="clear" w:color="auto" w:fill="FFFFFF" w:themeFill="background1"/>
              </w:rPr>
              <w:t xml:space="preserve">zu </w:t>
            </w:r>
            <w:r w:rsidRPr="00E63E23">
              <w:rPr>
                <w:bCs/>
                <w:shd w:val="clear" w:color="auto" w:fill="FFFFFF" w:themeFill="background1"/>
              </w:rPr>
              <w:t xml:space="preserve">2b, 2c), glossieren, </w:t>
            </w:r>
            <w:r w:rsidRPr="00E63E23">
              <w:rPr>
                <w:bCs/>
                <w:i/>
                <w:shd w:val="clear" w:color="auto" w:fill="FFFFFF" w:themeFill="background1"/>
              </w:rPr>
              <w:t xml:space="preserve">NF </w:t>
            </w:r>
            <w:proofErr w:type="spellStart"/>
            <w:r w:rsidRPr="00E63E23">
              <w:rPr>
                <w:bCs/>
                <w:shd w:val="clear" w:color="auto" w:fill="FFFFFF" w:themeFill="background1"/>
              </w:rPr>
              <w:t>glossen</w:t>
            </w:r>
            <w:proofErr w:type="spellEnd"/>
            <w:r w:rsidRPr="00E63E23">
              <w:rPr>
                <w:bCs/>
                <w:shd w:val="clear" w:color="auto" w:fill="FFFFFF" w:themeFill="background1"/>
              </w:rPr>
              <w:t xml:space="preserve"> (</w:t>
            </w:r>
            <w:r w:rsidRPr="00E63E23">
              <w:rPr>
                <w:bCs/>
                <w:i/>
                <w:shd w:val="clear" w:color="auto" w:fill="FFFFFF" w:themeFill="background1"/>
              </w:rPr>
              <w:t xml:space="preserve">zu </w:t>
            </w:r>
            <w:r w:rsidRPr="00E63E23">
              <w:rPr>
                <w:bCs/>
                <w:shd w:val="clear" w:color="auto" w:fill="FFFFFF" w:themeFill="background1"/>
              </w:rPr>
              <w:t xml:space="preserve">1a, 1b, 1c, 2b, 2c, 3), </w:t>
            </w:r>
            <w:proofErr w:type="spellStart"/>
            <w:r w:rsidRPr="00E63E23">
              <w:rPr>
                <w:bCs/>
                <w:shd w:val="clear" w:color="auto" w:fill="FFFFFF" w:themeFill="background1"/>
              </w:rPr>
              <w:t>Glossierer</w:t>
            </w:r>
            <w:proofErr w:type="spellEnd"/>
            <w:r w:rsidRPr="00E63E23">
              <w:rPr>
                <w:bCs/>
                <w:shd w:val="clear" w:color="auto" w:fill="FFFFFF" w:themeFill="background1"/>
              </w:rPr>
              <w:t xml:space="preserve">, </w:t>
            </w:r>
            <w:proofErr w:type="spellStart"/>
            <w:r w:rsidRPr="00E63E23">
              <w:rPr>
                <w:bCs/>
                <w:shd w:val="clear" w:color="auto" w:fill="FFFFFF" w:themeFill="background1"/>
              </w:rPr>
              <w:t>Glossiererin</w:t>
            </w:r>
            <w:proofErr w:type="spellEnd"/>
            <w:r w:rsidRPr="00E63E23">
              <w:rPr>
                <w:bCs/>
                <w:shd w:val="clear" w:color="auto" w:fill="FFFFFF" w:themeFill="background1"/>
              </w:rPr>
              <w:t xml:space="preserve"> (</w:t>
            </w:r>
            <w:r w:rsidRPr="00E63E23">
              <w:rPr>
                <w:bCs/>
                <w:i/>
                <w:shd w:val="clear" w:color="auto" w:fill="FFFFFF" w:themeFill="background1"/>
              </w:rPr>
              <w:t xml:space="preserve">zu </w:t>
            </w:r>
            <w:r w:rsidRPr="00E63E23">
              <w:rPr>
                <w:bCs/>
                <w:shd w:val="clear" w:color="auto" w:fill="FFFFFF" w:themeFill="background1"/>
              </w:rPr>
              <w:t xml:space="preserve">1a, 1b, 1c, 2b, 2c), Glossierung </w:t>
            </w:r>
            <w:r w:rsidR="00F56763">
              <w:rPr>
                <w:bCs/>
                <w:shd w:val="clear" w:color="auto" w:fill="FFFFFF" w:themeFill="background1"/>
              </w:rPr>
              <w:br w:type="textWrapping" w:clear="all"/>
            </w:r>
            <w:r w:rsidRPr="00E63E23">
              <w:rPr>
                <w:bCs/>
                <w:shd w:val="clear" w:color="auto" w:fill="FFFFFF" w:themeFill="background1"/>
              </w:rPr>
              <w:t>(</w:t>
            </w:r>
            <w:r w:rsidRPr="00E63E23">
              <w:rPr>
                <w:bCs/>
                <w:i/>
                <w:shd w:val="clear" w:color="auto" w:fill="FFFFFF" w:themeFill="background1"/>
              </w:rPr>
              <w:t xml:space="preserve">zu </w:t>
            </w:r>
            <w:r w:rsidRPr="00E63E23">
              <w:rPr>
                <w:bCs/>
                <w:shd w:val="clear" w:color="auto" w:fill="FFFFFF" w:themeFill="background1"/>
              </w:rPr>
              <w:t xml:space="preserve">1a, 1b, 1c, 2b, 2c), </w:t>
            </w:r>
            <w:proofErr w:type="spellStart"/>
            <w:r w:rsidRPr="00E63E23">
              <w:rPr>
                <w:bCs/>
                <w:shd w:val="clear" w:color="auto" w:fill="FFFFFF" w:themeFill="background1"/>
              </w:rPr>
              <w:t>Glossist</w:t>
            </w:r>
            <w:proofErr w:type="spellEnd"/>
            <w:r w:rsidRPr="00E63E23">
              <w:rPr>
                <w:bCs/>
                <w:shd w:val="clear" w:color="auto" w:fill="FFFFFF" w:themeFill="background1"/>
              </w:rPr>
              <w:t xml:space="preserve">, </w:t>
            </w:r>
            <w:proofErr w:type="spellStart"/>
            <w:r w:rsidRPr="00E63E23">
              <w:rPr>
                <w:bCs/>
                <w:shd w:val="clear" w:color="auto" w:fill="FFFFFF" w:themeFill="background1"/>
              </w:rPr>
              <w:t>Glossistin</w:t>
            </w:r>
            <w:proofErr w:type="spellEnd"/>
            <w:r w:rsidRPr="00E63E23">
              <w:rPr>
                <w:bCs/>
                <w:shd w:val="clear" w:color="auto" w:fill="FFFFFF" w:themeFill="background1"/>
              </w:rPr>
              <w:t xml:space="preserve"> (</w:t>
            </w:r>
            <w:r w:rsidRPr="00E63E23">
              <w:rPr>
                <w:bCs/>
                <w:i/>
                <w:shd w:val="clear" w:color="auto" w:fill="FFFFFF" w:themeFill="background1"/>
              </w:rPr>
              <w:t xml:space="preserve">zu </w:t>
            </w:r>
            <w:r w:rsidRPr="00E63E23">
              <w:rPr>
                <w:bCs/>
                <w:shd w:val="clear" w:color="auto" w:fill="FFFFFF" w:themeFill="background1"/>
              </w:rPr>
              <w:t xml:space="preserve">1a, 2c), </w:t>
            </w:r>
            <w:proofErr w:type="spellStart"/>
            <w:r w:rsidRPr="00E63E23">
              <w:rPr>
                <w:bCs/>
                <w:shd w:val="clear" w:color="auto" w:fill="FFFFFF" w:themeFill="background1"/>
              </w:rPr>
              <w:t>glossistisch</w:t>
            </w:r>
            <w:proofErr w:type="spellEnd"/>
            <w:r w:rsidRPr="00E63E23">
              <w:rPr>
                <w:bCs/>
                <w:shd w:val="clear" w:color="auto" w:fill="FFFFFF" w:themeFill="background1"/>
              </w:rPr>
              <w:t xml:space="preserve"> (</w:t>
            </w:r>
            <w:r w:rsidRPr="00E63E23">
              <w:rPr>
                <w:bCs/>
                <w:i/>
                <w:shd w:val="clear" w:color="auto" w:fill="FFFFFF" w:themeFill="background1"/>
              </w:rPr>
              <w:t xml:space="preserve">zu </w:t>
            </w:r>
            <w:r w:rsidRPr="00E63E23">
              <w:rPr>
                <w:bCs/>
                <w:shd w:val="clear" w:color="auto" w:fill="FFFFFF" w:themeFill="background1"/>
              </w:rPr>
              <w:t>2c)</w:t>
            </w:r>
          </w:p>
        </w:tc>
      </w:tr>
      <w:tr w:rsidR="003B4803" w:rsidTr="00AD56FF">
        <w:tc>
          <w:tcPr>
            <w:tcW w:w="7825" w:type="dxa"/>
            <w:tcBorders>
              <w:top w:val="nil"/>
              <w:bottom w:val="nil"/>
            </w:tcBorders>
          </w:tcPr>
          <w:p w:rsidR="003B4803" w:rsidRPr="00F03829" w:rsidRDefault="003B4803" w:rsidP="003816F0">
            <w:pPr>
              <w:spacing w:after="120"/>
              <w:rPr>
                <w:rStyle w:val="gl"/>
                <w:color w:val="FFFFFF" w:themeColor="background1"/>
                <w:shd w:val="clear" w:color="auto" w:fill="8EAADB" w:themeFill="accent5" w:themeFillTint="99"/>
              </w:rPr>
            </w:pPr>
            <w:r w:rsidRPr="00F03829">
              <w:rPr>
                <w:rStyle w:val="gl"/>
                <w:color w:val="FFFFFF" w:themeColor="background1"/>
                <w:shd w:val="clear" w:color="auto" w:fill="8EAADB" w:themeFill="accent5" w:themeFillTint="99"/>
              </w:rPr>
              <w:t>1a</w:t>
            </w:r>
            <w:r>
              <w:t> </w:t>
            </w:r>
            <w:r>
              <w:t xml:space="preserve">Zunächst im Bereich der (Text-)Gelehrsamkeit als Terminus in der heute weitgehend nur noch historisierend und zitierend gebrauchten </w:t>
            </w:r>
            <w:proofErr w:type="spellStart"/>
            <w:r>
              <w:t>Bed</w:t>
            </w:r>
            <w:proofErr w:type="spellEnd"/>
            <w:r>
              <w:t xml:space="preserve">. ‘(philologische) Auslegung, Erläuterung, Erklärung eines fremdartigen (seltenen, unbekannten, fremdsprachigen) Wortes, einer (schwerverständlichen) Textstelle’ (vgl. </w:t>
            </w:r>
            <w:proofErr w:type="spellStart"/>
            <w:r>
              <w:rPr>
                <w:i/>
                <w:iCs/>
              </w:rPr>
              <w:t>Interpretament</w:t>
            </w:r>
            <w:proofErr w:type="spellEnd"/>
            <w:r>
              <w:t xml:space="preserve">, → Interpretation, → Kommentar, → Note, → Marginalie), anfangs überwiegend im Sinne eines autoritativen Kommentars bezogen auf die Auslegung der Bibel bzw. theologischer Texte (s. Belege 1252–55, 1349–50, um 1410, 1453, 1510, 1521, vor 1576.2), vereinzelt auch für ‘auslegende Predigt nach der Verlesung des </w:t>
            </w:r>
            <w:proofErr w:type="spellStart"/>
            <w:r>
              <w:t>Evangelientexts</w:t>
            </w:r>
            <w:proofErr w:type="spellEnd"/>
            <w:r>
              <w:t xml:space="preserve"> im Gottesdienst’ (s. Beleg um 1590), speziell in der </w:t>
            </w:r>
            <w:proofErr w:type="spellStart"/>
            <w:r>
              <w:t>Rechtsspr</w:t>
            </w:r>
            <w:proofErr w:type="spellEnd"/>
            <w:r>
              <w:t xml:space="preserve">. vom 16. bis 19. Jh. mit Bezug auf die Erklärungen/Erläuterungen zum Corpus </w:t>
            </w:r>
            <w:proofErr w:type="spellStart"/>
            <w:r>
              <w:t>iuris</w:t>
            </w:r>
            <w:proofErr w:type="spellEnd"/>
            <w:r>
              <w:t xml:space="preserve"> </w:t>
            </w:r>
            <w:proofErr w:type="spellStart"/>
            <w:r>
              <w:t>civilis</w:t>
            </w:r>
            <w:proofErr w:type="spellEnd"/>
            <w:r>
              <w:t xml:space="preserve"> oder zu anderen Rechts-, Gesetzestexten (s. Belege 1501, 1561, vor 1576.1, 1677, 1748, 1773, 1865, 1879, 1956; → Kommentar); im 16./17. Jh. auch für ‘(literarische) Erklärung, Ausdeutung bes. einer Beispielerzählung, einer (exemplarischen, allegorischen) literarischen Figur’ (s. Belege 1566, 1618.2, 1663), sowie gelegentlich bildlich verwendet im Sinne von ‘Zutat; Beiwerk’ (s. Belege 1728, 1866, 1887); daneben seit dem 12. Jh. im (zusammenfassenden) Sing. </w:t>
            </w:r>
            <w:r>
              <w:rPr>
                <w:i/>
                <w:iCs/>
              </w:rPr>
              <w:t>Glos(s)a</w:t>
            </w:r>
            <w:r>
              <w:t xml:space="preserve"> als Kollektiv für ‘Sammlung, Gesamtheit aller (Wort-)Erklärungen, interpretierenden </w:t>
            </w:r>
            <w:r>
              <w:lastRenderedPageBreak/>
              <w:t xml:space="preserve">Glossen (zu einem Text)’ (s. Beleg 1775; → Apparat, → Glossar; vgl. </w:t>
            </w:r>
            <w:proofErr w:type="spellStart"/>
            <w:r>
              <w:rPr>
                <w:i/>
                <w:iCs/>
              </w:rPr>
              <w:t>Glossa</w:t>
            </w:r>
            <w:proofErr w:type="spellEnd"/>
            <w:r>
              <w:rPr>
                <w:i/>
                <w:iCs/>
              </w:rPr>
              <w:t xml:space="preserve"> </w:t>
            </w:r>
            <w:proofErr w:type="spellStart"/>
            <w:r>
              <w:rPr>
                <w:i/>
                <w:iCs/>
              </w:rPr>
              <w:t>ordinaria</w:t>
            </w:r>
            <w:proofErr w:type="spellEnd"/>
            <w:r>
              <w:t xml:space="preserve"> als Titel der mittelalterlichen Standardglosse zum Bibeltext oder zum Corpus </w:t>
            </w:r>
            <w:proofErr w:type="spellStart"/>
            <w:r>
              <w:t>iuris</w:t>
            </w:r>
            <w:proofErr w:type="spellEnd"/>
            <w:r>
              <w:t xml:space="preserve"> </w:t>
            </w:r>
            <w:proofErr w:type="spellStart"/>
            <w:r>
              <w:t>civilis</w:t>
            </w:r>
            <w:proofErr w:type="spellEnd"/>
            <w:r>
              <w:t xml:space="preserve">); in Wendungen wie </w:t>
            </w:r>
            <w:r>
              <w:rPr>
                <w:b/>
                <w:bCs/>
              </w:rPr>
              <w:t>in den Glossen wird das Wort nicht erklärt, am Rande gedruckte Glossen, das Werk ist mit des Autors eigenen Glossen schön verziert, Glossen über die Heilige Schrift, das kanonische Recht mit seinen Glossen, eine sehr verbreitete Glosse im Bereich der Sagen</w:t>
            </w:r>
            <w:r>
              <w:t xml:space="preserve">, häufig in den Paarformeln </w:t>
            </w:r>
            <w:r>
              <w:rPr>
                <w:b/>
                <w:bCs/>
              </w:rPr>
              <w:t>Glossen und Erklärungen/Auslegungen/Noten, Text und Glosse</w:t>
            </w:r>
            <w:r>
              <w:t xml:space="preserve"> ‘Wortlaut und (verborgene, tiefere, eigentliche) Bedeutung’, selten in </w:t>
            </w:r>
            <w:proofErr w:type="spellStart"/>
            <w:r>
              <w:t>Zss</w:t>
            </w:r>
            <w:proofErr w:type="spellEnd"/>
            <w:r>
              <w:t xml:space="preserve">. wie </w:t>
            </w:r>
            <w:r>
              <w:rPr>
                <w:b/>
                <w:bCs/>
              </w:rPr>
              <w:t>Glossenhandschrift, -macher, -sammlung; Bibel-, Rand-, Textglosse</w:t>
            </w:r>
            <w:r>
              <w:t>.</w:t>
            </w:r>
          </w:p>
        </w:tc>
        <w:tc>
          <w:tcPr>
            <w:tcW w:w="444" w:type="dxa"/>
            <w:tcBorders>
              <w:top w:val="nil"/>
              <w:bottom w:val="nil"/>
              <w:right w:val="nil"/>
            </w:tcBorders>
          </w:tcPr>
          <w:p w:rsidR="003B4803" w:rsidRPr="00E63E23" w:rsidRDefault="003B4803">
            <w:r w:rsidRPr="00E63E23">
              <w:lastRenderedPageBreak/>
              <w:t>1a</w:t>
            </w:r>
          </w:p>
        </w:tc>
        <w:tc>
          <w:tcPr>
            <w:tcW w:w="6202" w:type="dxa"/>
            <w:tcBorders>
              <w:top w:val="nil"/>
              <w:left w:val="nil"/>
              <w:bottom w:val="nil"/>
            </w:tcBorders>
          </w:tcPr>
          <w:p w:rsidR="003B4803" w:rsidRPr="00E63E23" w:rsidRDefault="003B4803">
            <w:proofErr w:type="spellStart"/>
            <w:r w:rsidRPr="00E63E23">
              <w:rPr>
                <w:bCs/>
                <w:i/>
                <w:shd w:val="clear" w:color="auto" w:fill="EDEDED" w:themeFill="accent3" w:themeFillTint="33"/>
              </w:rPr>
              <w:t>term</w:t>
            </w:r>
            <w:proofErr w:type="spellEnd"/>
            <w:r w:rsidRPr="00E63E23">
              <w:rPr>
                <w:bCs/>
                <w:i/>
                <w:shd w:val="clear" w:color="auto" w:fill="EDEDED" w:themeFill="accent3" w:themeFillTint="33"/>
              </w:rPr>
              <w:t>.</w:t>
            </w:r>
            <w:r w:rsidRPr="00E63E23">
              <w:rPr>
                <w:bCs/>
                <w:i/>
              </w:rPr>
              <w:t xml:space="preserve"> </w:t>
            </w:r>
            <w:r w:rsidRPr="00E63E23">
              <w:rPr>
                <w:bCs/>
              </w:rPr>
              <w:t xml:space="preserve">Auslegung eines Wortes oder einer Textstelle; autoritativer Kommentar (zur Bibel); </w:t>
            </w:r>
            <w:r w:rsidRPr="00E63E23">
              <w:rPr>
                <w:bCs/>
                <w:i/>
                <w:shd w:val="clear" w:color="auto" w:fill="EDEDED" w:themeFill="accent3" w:themeFillTint="33"/>
              </w:rPr>
              <w:t>Rechtssprache</w:t>
            </w:r>
            <w:r w:rsidRPr="00E63E23">
              <w:rPr>
                <w:bCs/>
                <w:i/>
              </w:rPr>
              <w:t xml:space="preserve"> </w:t>
            </w:r>
            <w:r w:rsidRPr="00E63E23">
              <w:rPr>
                <w:bCs/>
              </w:rPr>
              <w:t xml:space="preserve">Erläuterung (zum Corpus </w:t>
            </w:r>
            <w:proofErr w:type="spellStart"/>
            <w:r w:rsidRPr="00E63E23">
              <w:rPr>
                <w:bCs/>
              </w:rPr>
              <w:t>iuris</w:t>
            </w:r>
            <w:proofErr w:type="spellEnd"/>
            <w:r w:rsidRPr="00E63E23">
              <w:rPr>
                <w:bCs/>
              </w:rPr>
              <w:t xml:space="preserve"> </w:t>
            </w:r>
            <w:proofErr w:type="spellStart"/>
            <w:r w:rsidRPr="00E63E23">
              <w:rPr>
                <w:bCs/>
              </w:rPr>
              <w:t>civilis</w:t>
            </w:r>
            <w:proofErr w:type="spellEnd"/>
            <w:r w:rsidRPr="00E63E23">
              <w:rPr>
                <w:bCs/>
              </w:rPr>
              <w:t xml:space="preserve">); </w:t>
            </w:r>
            <w:proofErr w:type="spellStart"/>
            <w:r w:rsidRPr="00E63E23">
              <w:rPr>
                <w:bCs/>
                <w:i/>
                <w:shd w:val="clear" w:color="auto" w:fill="EDEDED" w:themeFill="accent3" w:themeFillTint="33"/>
              </w:rPr>
              <w:t>bildl</w:t>
            </w:r>
            <w:proofErr w:type="spellEnd"/>
            <w:r w:rsidRPr="00E63E23">
              <w:rPr>
                <w:bCs/>
                <w:i/>
                <w:shd w:val="clear" w:color="auto" w:fill="EDEDED" w:themeFill="accent3" w:themeFillTint="33"/>
              </w:rPr>
              <w:t>.</w:t>
            </w:r>
            <w:r w:rsidRPr="00E63E23">
              <w:rPr>
                <w:bCs/>
                <w:i/>
              </w:rPr>
              <w:t xml:space="preserve"> für </w:t>
            </w:r>
            <w:r w:rsidRPr="00E63E23">
              <w:rPr>
                <w:bCs/>
              </w:rPr>
              <w:t>Beiwerk</w:t>
            </w:r>
          </w:p>
        </w:tc>
      </w:tr>
      <w:tr w:rsidR="003B4803" w:rsidTr="00AD56FF">
        <w:tc>
          <w:tcPr>
            <w:tcW w:w="7825" w:type="dxa"/>
            <w:tcBorders>
              <w:top w:val="nil"/>
              <w:bottom w:val="nil"/>
            </w:tcBorders>
          </w:tcPr>
          <w:p w:rsidR="003B4803" w:rsidRPr="00F03829" w:rsidRDefault="00B575B9" w:rsidP="003816F0">
            <w:pPr>
              <w:spacing w:after="120"/>
              <w:rPr>
                <w:rStyle w:val="gl"/>
                <w:color w:val="FFFFFF" w:themeColor="background1"/>
                <w:shd w:val="clear" w:color="auto" w:fill="8EAADB" w:themeFill="accent5" w:themeFillTint="99"/>
              </w:rPr>
            </w:pPr>
            <w:r>
              <w:rPr>
                <w:rStyle w:val="gl"/>
                <w:color w:val="FFFFFF" w:themeColor="background1"/>
                <w:shd w:val="clear" w:color="auto" w:fill="8EAADB" w:themeFill="accent5" w:themeFillTint="99"/>
              </w:rPr>
              <w:t>1b</w:t>
            </w:r>
            <w:r>
              <w:t xml:space="preserve"> Von frühem 15. bis Ende 18. Jh., vereinzelt bis ins frühere 20. Jh. auch abwertend für ‘ falsche, (absichtlich) verfälschende Auslegung, falsche Interpretation, Verfälschung eines Sachverhalts, authentischen Textes, einer gültigen Aussage, Lehre/Lehrmeinung (der Bibel)’, insbes. in der reformatorischen Polemik im Kampf um die Reinheit des Bibelwortes ‘zweifelhafte menschliche Zutat zum göttlichen, reinen Bibeltext’ (s. Belege vor 1496, 1510, 1512.1, 1521, 1523, um 1530–34, 1558, 1563, 1570, 1583, 1587, 1604, 1615, 1650, 1754), auch, teilweise mit Bezug auf mündliche Äußerungen, allgemeiner ‘beschönigende Darstellung einer unliebsamen Tatsache; Ausflucht, Ausrede, Entschuldigung; Lüge’ (s. Belege 1453, 1569), vereinzelt bildlich und (z. T. redensartlich) übertragen (s. Belege 1590, 1775, 1790), in Wendungen (meist mit negativen Beiwörtern) wie </w:t>
            </w:r>
            <w:r>
              <w:rPr>
                <w:b/>
                <w:bCs/>
              </w:rPr>
              <w:t>falsche, erdichtete, faule, ketzerische Glossen, den einfachen Text unter einem Wust von Glossen begraben</w:t>
            </w:r>
            <w:r>
              <w:t xml:space="preserve">, (in Verbindung mit meist negativen Partnerwörtern:) </w:t>
            </w:r>
            <w:r>
              <w:rPr>
                <w:b/>
                <w:bCs/>
              </w:rPr>
              <w:t>Deuteleien und Glossen, Glossen und Ausflüchte, Glossen und Possen, Text und Glosse</w:t>
            </w:r>
            <w:r>
              <w:t xml:space="preserve"> ‘göttliches Wort und menschliche Verfälschung; Wahrheit und Lüge’, </w:t>
            </w:r>
            <w:r>
              <w:rPr>
                <w:b/>
                <w:bCs/>
              </w:rPr>
              <w:t xml:space="preserve">on alle </w:t>
            </w:r>
            <w:proofErr w:type="spellStart"/>
            <w:r>
              <w:rPr>
                <w:b/>
                <w:bCs/>
              </w:rPr>
              <w:t>gloß</w:t>
            </w:r>
            <w:proofErr w:type="spellEnd"/>
            <w:r>
              <w:t xml:space="preserve"> ‘ohne Beschönigung, unumwunden, geradezu’ und </w:t>
            </w:r>
            <w:proofErr w:type="spellStart"/>
            <w:r>
              <w:t>Zss</w:t>
            </w:r>
            <w:proofErr w:type="spellEnd"/>
            <w:r>
              <w:t xml:space="preserve">. wie </w:t>
            </w:r>
            <w:r>
              <w:rPr>
                <w:b/>
                <w:bCs/>
              </w:rPr>
              <w:t>Glossenglaube</w:t>
            </w:r>
            <w:r>
              <w:t xml:space="preserve"> ‘nur auf Auslegungen gegründeter Glaube’, </w:t>
            </w:r>
            <w:proofErr w:type="spellStart"/>
            <w:r>
              <w:rPr>
                <w:b/>
                <w:bCs/>
              </w:rPr>
              <w:t>Gloßmeister</w:t>
            </w:r>
            <w:proofErr w:type="spellEnd"/>
            <w:r>
              <w:t xml:space="preserve"> ‘Teufel’.</w:t>
            </w:r>
          </w:p>
        </w:tc>
        <w:tc>
          <w:tcPr>
            <w:tcW w:w="444" w:type="dxa"/>
            <w:tcBorders>
              <w:top w:val="nil"/>
              <w:bottom w:val="nil"/>
              <w:right w:val="nil"/>
            </w:tcBorders>
          </w:tcPr>
          <w:p w:rsidR="003B4803" w:rsidRPr="00E63E23" w:rsidRDefault="00B575B9">
            <w:r w:rsidRPr="00E63E23">
              <w:t>1b</w:t>
            </w:r>
          </w:p>
        </w:tc>
        <w:tc>
          <w:tcPr>
            <w:tcW w:w="6202" w:type="dxa"/>
            <w:tcBorders>
              <w:top w:val="nil"/>
              <w:left w:val="nil"/>
              <w:bottom w:val="nil"/>
            </w:tcBorders>
          </w:tcPr>
          <w:p w:rsidR="003B4803" w:rsidRPr="00E63E23" w:rsidRDefault="00B575B9">
            <w:r w:rsidRPr="00E63E23">
              <w:rPr>
                <w:i/>
                <w:shd w:val="clear" w:color="auto" w:fill="EDEDED" w:themeFill="accent3" w:themeFillTint="33"/>
              </w:rPr>
              <w:t>abwertend</w:t>
            </w:r>
            <w:r w:rsidRPr="00E63E23">
              <w:rPr>
                <w:i/>
                <w:shd w:val="clear" w:color="auto" w:fill="FFFFFF" w:themeFill="background1"/>
              </w:rPr>
              <w:t xml:space="preserve"> </w:t>
            </w:r>
            <w:r w:rsidRPr="00E63E23">
              <w:rPr>
                <w:i/>
                <w:shd w:val="clear" w:color="auto" w:fill="EDEDED" w:themeFill="accent3" w:themeFillTint="33"/>
              </w:rPr>
              <w:t>früher</w:t>
            </w:r>
            <w:r w:rsidRPr="00E63E23">
              <w:rPr>
                <w:i/>
              </w:rPr>
              <w:t xml:space="preserve"> </w:t>
            </w:r>
            <w:r w:rsidRPr="00E63E23">
              <w:t xml:space="preserve">(absichtlich) verfälschende Auslegung (der Bibel); Ausrede; </w:t>
            </w:r>
            <w:r w:rsidRPr="00E63E23">
              <w:rPr>
                <w:i/>
              </w:rPr>
              <w:t xml:space="preserve">in </w:t>
            </w:r>
            <w:proofErr w:type="spellStart"/>
            <w:r w:rsidRPr="00E63E23">
              <w:rPr>
                <w:i/>
              </w:rPr>
              <w:t>Zss</w:t>
            </w:r>
            <w:proofErr w:type="spellEnd"/>
            <w:r w:rsidRPr="00E63E23">
              <w:rPr>
                <w:i/>
              </w:rPr>
              <w:t xml:space="preserve">. wie </w:t>
            </w:r>
            <w:r w:rsidRPr="00E63E23">
              <w:t xml:space="preserve">Glossenglaube, </w:t>
            </w:r>
            <w:proofErr w:type="spellStart"/>
            <w:r w:rsidRPr="00E63E23">
              <w:t>Glossmeister</w:t>
            </w:r>
            <w:proofErr w:type="spellEnd"/>
          </w:p>
        </w:tc>
      </w:tr>
      <w:tr w:rsidR="00B575B9" w:rsidTr="00AD56FF">
        <w:tc>
          <w:tcPr>
            <w:tcW w:w="7825" w:type="dxa"/>
            <w:tcBorders>
              <w:top w:val="nil"/>
              <w:bottom w:val="nil"/>
            </w:tcBorders>
          </w:tcPr>
          <w:p w:rsidR="00B575B9" w:rsidRPr="00F03829" w:rsidRDefault="009709B4" w:rsidP="003816F0">
            <w:pPr>
              <w:spacing w:after="120"/>
              <w:rPr>
                <w:rStyle w:val="gl"/>
                <w:color w:val="FFFFFF" w:themeColor="background1"/>
                <w:shd w:val="clear" w:color="auto" w:fill="8EAADB" w:themeFill="accent5" w:themeFillTint="99"/>
              </w:rPr>
            </w:pPr>
            <w:r>
              <w:rPr>
                <w:rStyle w:val="gl"/>
                <w:color w:val="FFFFFF" w:themeColor="background1"/>
                <w:shd w:val="clear" w:color="auto" w:fill="8EAADB" w:themeFill="accent5" w:themeFillTint="99"/>
              </w:rPr>
              <w:t>1c</w:t>
            </w:r>
            <w:r>
              <w:t xml:space="preserve"> </w:t>
            </w:r>
            <w:r w:rsidR="00A966F6">
              <w:t>Seit Ende 18. Jh. in der Fachsprache der (</w:t>
            </w:r>
            <w:proofErr w:type="spellStart"/>
            <w:r w:rsidR="00A966F6">
              <w:t>dtsch</w:t>
            </w:r>
            <w:proofErr w:type="spellEnd"/>
            <w:r w:rsidR="00A966F6">
              <w:t xml:space="preserve">.) Philologie in der </w:t>
            </w:r>
            <w:proofErr w:type="spellStart"/>
            <w:r w:rsidR="00A966F6">
              <w:t>Bed</w:t>
            </w:r>
            <w:proofErr w:type="spellEnd"/>
            <w:r w:rsidR="00A966F6">
              <w:t>. ‘(als Quelle für den Wortschatz der ältesten Sprachperioden des Deutschen bes. wertvolle) volkssprachige, deutsche Übersetzung eine</w:t>
            </w:r>
            <w:r w:rsidR="002F3CA4">
              <w:t xml:space="preserve">s lateinischen Textwortes oder </w:t>
            </w:r>
            <w:r w:rsidR="002F3CA4">
              <w:noBreakHyphen/>
            </w:r>
            <w:proofErr w:type="spellStart"/>
            <w:r w:rsidR="00A966F6">
              <w:t>abschnitts</w:t>
            </w:r>
            <w:proofErr w:type="spellEnd"/>
            <w:r w:rsidR="00A966F6">
              <w:t xml:space="preserve">, die (v. a. in ahd. und mhd. Zeit) als Übersetzungshilfe an den Rand, zwischen die Zeilen oder in den fortlaufenden Wortlaut eines lateinischen Textes geschrieben (oder separat in besonderen Verzeichnissen angeordnet) wurde’, in Wendungen wie </w:t>
            </w:r>
            <w:r w:rsidR="00A966F6">
              <w:rPr>
                <w:b/>
                <w:bCs/>
              </w:rPr>
              <w:t xml:space="preserve">althochdeutsche, altsächsische Glossen, Kasseler, </w:t>
            </w:r>
            <w:proofErr w:type="spellStart"/>
            <w:r w:rsidR="00A966F6">
              <w:rPr>
                <w:b/>
                <w:bCs/>
              </w:rPr>
              <w:t>Monseer</w:t>
            </w:r>
            <w:proofErr w:type="spellEnd"/>
            <w:r w:rsidR="00A966F6">
              <w:rPr>
                <w:b/>
                <w:bCs/>
              </w:rPr>
              <w:t xml:space="preserve">, </w:t>
            </w:r>
            <w:proofErr w:type="spellStart"/>
            <w:r w:rsidR="00A966F6">
              <w:rPr>
                <w:b/>
                <w:bCs/>
              </w:rPr>
              <w:lastRenderedPageBreak/>
              <w:t>Wessobrunner</w:t>
            </w:r>
            <w:proofErr w:type="spellEnd"/>
            <w:r w:rsidR="00A966F6">
              <w:rPr>
                <w:b/>
                <w:bCs/>
              </w:rPr>
              <w:t xml:space="preserve"> Glossen, Glossen sammeln, edieren</w:t>
            </w:r>
            <w:r w:rsidR="00A966F6">
              <w:t xml:space="preserve"> und </w:t>
            </w:r>
            <w:proofErr w:type="spellStart"/>
            <w:r w:rsidR="00A966F6">
              <w:t>Zss</w:t>
            </w:r>
            <w:proofErr w:type="spellEnd"/>
            <w:r w:rsidR="00A966F6">
              <w:t xml:space="preserve">. wie </w:t>
            </w:r>
            <w:r w:rsidR="002F3CA4">
              <w:rPr>
                <w:b/>
                <w:bCs/>
              </w:rPr>
              <w:t xml:space="preserve">Glossenarbeit, </w:t>
            </w:r>
            <w:r w:rsidR="002F3CA4">
              <w:rPr>
                <w:b/>
                <w:bCs/>
              </w:rPr>
              <w:noBreakHyphen/>
            </w:r>
            <w:proofErr w:type="spellStart"/>
            <w:r w:rsidR="00A966F6">
              <w:rPr>
                <w:b/>
                <w:bCs/>
              </w:rPr>
              <w:t>forschung</w:t>
            </w:r>
            <w:proofErr w:type="spellEnd"/>
            <w:r w:rsidR="00A966F6">
              <w:rPr>
                <w:b/>
                <w:bCs/>
              </w:rPr>
              <w:t xml:space="preserve">, -handschrift, -literatur, -sammlung; Bibel-, </w:t>
            </w:r>
            <w:proofErr w:type="spellStart"/>
            <w:r w:rsidR="00A966F6">
              <w:rPr>
                <w:b/>
                <w:bCs/>
              </w:rPr>
              <w:t>Prudentius</w:t>
            </w:r>
            <w:proofErr w:type="spellEnd"/>
            <w:r w:rsidR="00A966F6">
              <w:rPr>
                <w:b/>
                <w:bCs/>
              </w:rPr>
              <w:t xml:space="preserve">-, </w:t>
            </w:r>
            <w:proofErr w:type="spellStart"/>
            <w:r w:rsidR="00A966F6">
              <w:rPr>
                <w:b/>
                <w:bCs/>
              </w:rPr>
              <w:t>Terenz</w:t>
            </w:r>
            <w:proofErr w:type="spellEnd"/>
            <w:r w:rsidR="00A966F6">
              <w:rPr>
                <w:b/>
                <w:bCs/>
              </w:rPr>
              <w:t xml:space="preserve">-, </w:t>
            </w:r>
            <w:proofErr w:type="spellStart"/>
            <w:r w:rsidR="00A966F6">
              <w:rPr>
                <w:b/>
                <w:bCs/>
              </w:rPr>
              <w:t>Virgilglossen</w:t>
            </w:r>
            <w:proofErr w:type="spellEnd"/>
            <w:r w:rsidR="00A966F6">
              <w:rPr>
                <w:b/>
                <w:bCs/>
              </w:rPr>
              <w:t>, Griffelglosse</w:t>
            </w:r>
            <w:r w:rsidR="00A966F6">
              <w:t xml:space="preserve"> ‘mit dem Griffel (ohne Tinte) in das Pergament einer Handschrift eingeritzte volkssprachige Glosse’, </w:t>
            </w:r>
            <w:r w:rsidR="00A966F6">
              <w:rPr>
                <w:b/>
                <w:bCs/>
              </w:rPr>
              <w:t>Interlinearglosse</w:t>
            </w:r>
            <w:r w:rsidR="00A966F6">
              <w:t xml:space="preserve"> ‘zwischen die Zeilen eines lat. Textes geschriebene Glosse’, </w:t>
            </w:r>
            <w:r w:rsidR="00A966F6">
              <w:rPr>
                <w:b/>
                <w:bCs/>
              </w:rPr>
              <w:t>Kontextglosse</w:t>
            </w:r>
            <w:r w:rsidR="00A966F6">
              <w:t xml:space="preserve"> ‘in den fortlaufenden Wortlaut eines lat. Textes eingefügte Glosse’, </w:t>
            </w:r>
            <w:r w:rsidR="00A966F6">
              <w:rPr>
                <w:b/>
                <w:bCs/>
              </w:rPr>
              <w:t>Marginalglosse</w:t>
            </w:r>
            <w:r w:rsidR="00A966F6">
              <w:t xml:space="preserve"> ‘an den Rand eines lat. Textes geschriebene Glosse’.</w:t>
            </w:r>
          </w:p>
        </w:tc>
        <w:tc>
          <w:tcPr>
            <w:tcW w:w="444" w:type="dxa"/>
            <w:tcBorders>
              <w:top w:val="nil"/>
              <w:bottom w:val="nil"/>
              <w:right w:val="nil"/>
            </w:tcBorders>
          </w:tcPr>
          <w:p w:rsidR="00B575B9" w:rsidRPr="00E63E23" w:rsidRDefault="00B575B9">
            <w:r w:rsidRPr="00E63E23">
              <w:lastRenderedPageBreak/>
              <w:t>1c</w:t>
            </w:r>
          </w:p>
        </w:tc>
        <w:tc>
          <w:tcPr>
            <w:tcW w:w="6202" w:type="dxa"/>
            <w:tcBorders>
              <w:top w:val="nil"/>
              <w:left w:val="nil"/>
              <w:bottom w:val="nil"/>
            </w:tcBorders>
          </w:tcPr>
          <w:p w:rsidR="00B575B9" w:rsidRPr="00E63E23" w:rsidRDefault="00B575B9">
            <w:r w:rsidRPr="00E63E23">
              <w:rPr>
                <w:i/>
                <w:shd w:val="clear" w:color="auto" w:fill="EDEDED" w:themeFill="accent3" w:themeFillTint="33"/>
              </w:rPr>
              <w:t>(dt.) Philologie</w:t>
            </w:r>
            <w:r w:rsidRPr="00E63E23">
              <w:rPr>
                <w:i/>
              </w:rPr>
              <w:t xml:space="preserve"> </w:t>
            </w:r>
            <w:r w:rsidRPr="00E63E23">
              <w:t xml:space="preserve">volkssprachige Übersetzung eines lat. Wortes oder Abschnittes; </w:t>
            </w:r>
            <w:r w:rsidRPr="00E63E23">
              <w:rPr>
                <w:i/>
              </w:rPr>
              <w:t xml:space="preserve">in </w:t>
            </w:r>
            <w:proofErr w:type="spellStart"/>
            <w:r w:rsidRPr="00E63E23">
              <w:rPr>
                <w:i/>
              </w:rPr>
              <w:t>Zss</w:t>
            </w:r>
            <w:proofErr w:type="spellEnd"/>
            <w:r w:rsidRPr="00E63E23">
              <w:rPr>
                <w:i/>
              </w:rPr>
              <w:t xml:space="preserve">. wie </w:t>
            </w:r>
            <w:r w:rsidRPr="00E63E23">
              <w:t>Griffelglosse, Interlinearglosse</w:t>
            </w:r>
          </w:p>
        </w:tc>
      </w:tr>
      <w:tr w:rsidR="00B575B9" w:rsidTr="00AD56FF">
        <w:tc>
          <w:tcPr>
            <w:tcW w:w="7825" w:type="dxa"/>
            <w:tcBorders>
              <w:top w:val="nil"/>
              <w:bottom w:val="nil"/>
            </w:tcBorders>
          </w:tcPr>
          <w:p w:rsidR="00B575B9" w:rsidRPr="00F03829" w:rsidRDefault="009709B4" w:rsidP="003816F0">
            <w:pPr>
              <w:spacing w:after="120"/>
              <w:rPr>
                <w:rStyle w:val="gl"/>
                <w:color w:val="FFFFFF" w:themeColor="background1"/>
                <w:shd w:val="clear" w:color="auto" w:fill="8EAADB" w:themeFill="accent5" w:themeFillTint="99"/>
              </w:rPr>
            </w:pPr>
            <w:r>
              <w:rPr>
                <w:rStyle w:val="gl"/>
                <w:color w:val="FFFFFF" w:themeColor="background1"/>
                <w:shd w:val="clear" w:color="auto" w:fill="8EAADB" w:themeFill="accent5" w:themeFillTint="99"/>
              </w:rPr>
              <w:t>2a</w:t>
            </w:r>
            <w:r>
              <w:t xml:space="preserve"> Seit Anfang 14. Jh. selten auch allgemeiner mit Bezug auf Außertextliches für ‘eigentliche, tiefere Bedeutung, Sinn’ (s. Belege um 1300, 2. Hälfte 15. Jh.) bzw. ‘Angabe von Gründen/Ursachen für das Bestehen eines Sachverhalts, Darstellung der Hintergründe/Motive einer Handlung, Erklärung eines Ereignisses, Vorfalls usw.’ (s. Belege vor 1534, 1542, 1539–56, vor 1576), z. B. </w:t>
            </w:r>
            <w:r>
              <w:rPr>
                <w:b/>
                <w:bCs/>
              </w:rPr>
              <w:t>etwas bedarf keiner Glossen</w:t>
            </w:r>
            <w:r>
              <w:t xml:space="preserve"> ‘etwas ist leicht zu verstehen, liegt klar auf der Hand, versteht sich von selbst’.</w:t>
            </w:r>
          </w:p>
        </w:tc>
        <w:tc>
          <w:tcPr>
            <w:tcW w:w="444" w:type="dxa"/>
            <w:tcBorders>
              <w:top w:val="nil"/>
              <w:bottom w:val="nil"/>
              <w:right w:val="nil"/>
            </w:tcBorders>
          </w:tcPr>
          <w:p w:rsidR="00B575B9" w:rsidRPr="00E63E23" w:rsidRDefault="00B575B9">
            <w:r w:rsidRPr="00E63E23">
              <w:t>2a</w:t>
            </w:r>
          </w:p>
        </w:tc>
        <w:tc>
          <w:tcPr>
            <w:tcW w:w="6202" w:type="dxa"/>
            <w:tcBorders>
              <w:top w:val="nil"/>
              <w:left w:val="nil"/>
              <w:bottom w:val="nil"/>
            </w:tcBorders>
          </w:tcPr>
          <w:p w:rsidR="00B575B9" w:rsidRPr="00E63E23" w:rsidRDefault="00B575B9">
            <w:r w:rsidRPr="00E63E23">
              <w:rPr>
                <w:i/>
                <w:shd w:val="clear" w:color="auto" w:fill="EDEDED" w:themeFill="accent3" w:themeFillTint="33"/>
              </w:rPr>
              <w:t>früher</w:t>
            </w:r>
            <w:r w:rsidRPr="00E63E23">
              <w:rPr>
                <w:i/>
              </w:rPr>
              <w:t xml:space="preserve"> </w:t>
            </w:r>
            <w:r w:rsidRPr="00E63E23">
              <w:t>tiefere Bedeutung; Erklärung</w:t>
            </w:r>
          </w:p>
        </w:tc>
      </w:tr>
      <w:tr w:rsidR="00B575B9" w:rsidTr="00AD56FF">
        <w:tc>
          <w:tcPr>
            <w:tcW w:w="7825" w:type="dxa"/>
            <w:tcBorders>
              <w:top w:val="nil"/>
              <w:bottom w:val="nil"/>
            </w:tcBorders>
          </w:tcPr>
          <w:p w:rsidR="00B575B9" w:rsidRPr="00F03829" w:rsidRDefault="009709B4">
            <w:pPr>
              <w:rPr>
                <w:rStyle w:val="gl"/>
                <w:color w:val="FFFFFF" w:themeColor="background1"/>
                <w:shd w:val="clear" w:color="auto" w:fill="8EAADB" w:themeFill="accent5" w:themeFillTint="99"/>
              </w:rPr>
            </w:pPr>
            <w:r>
              <w:rPr>
                <w:rStyle w:val="gl"/>
                <w:color w:val="FFFFFF" w:themeColor="background1"/>
                <w:shd w:val="clear" w:color="auto" w:fill="8EAADB" w:themeFill="accent5" w:themeFillTint="99"/>
              </w:rPr>
              <w:t>2b</w:t>
            </w:r>
            <w:r>
              <w:t xml:space="preserve"> Seit späterem 17. Jh. und weitgehend beschränkt auf das 18./19. Jh. mit stärkerer Betonung des subjektiven Moments zur Bezeichnung von (meist) mündlichen Meinungsäußerungen (im Gespräch, in der Rede) in der </w:t>
            </w:r>
            <w:proofErr w:type="spellStart"/>
            <w:r>
              <w:t>Bed</w:t>
            </w:r>
            <w:proofErr w:type="spellEnd"/>
            <w:r>
              <w:t xml:space="preserve">. ‘nebenbei gemachte, (meist kritisch) wertende Anmerkung, Ausspruch, kommentierende Bemerkung über ein Thema, eine Person’ (vgl. </w:t>
            </w:r>
            <w:r>
              <w:rPr>
                <w:i/>
                <w:iCs/>
              </w:rPr>
              <w:t>Annotation</w:t>
            </w:r>
            <w:r>
              <w:t xml:space="preserve">, → Kommentar, → Kritik, → Note), dann v. a. im (leicht bis verstärkt) negativen Sinne für ‘scherzhafte, spöttische, ironische, boshafte, anzügliche, abfällige, hämische, gehässige (Rand-)Bemerkung, Kommentierung, Klatsch’ (s. Belege 1735, 1755, 1804, vor 1811, 1893, 1924.1), auch (von 1a) übertragen (s. Belege 1759, 1826) und gelegentlich konnotiert mit „beiseite; insgeheim, heimlich, hinterrücks“ (s. Belege 1782.1, 1782.2); in Wendungen wie </w:t>
            </w:r>
            <w:r>
              <w:rPr>
                <w:b/>
                <w:bCs/>
              </w:rPr>
              <w:t>heimliche, spöttische, bittere, gallige, unfreundliche, mäkelnde, höhnische, beißende, unbarmherzige, verächtliche Glossen, etwas mit Glossen quittieren,</w:t>
            </w:r>
            <w:r>
              <w:t xml:space="preserve"> (</w:t>
            </w:r>
            <w:r>
              <w:rPr>
                <w:b/>
                <w:bCs/>
              </w:rPr>
              <w:t>sich) eine Glosse verbeißen, sich an keine Glossen kehren, allerhand Glossen fallen hören</w:t>
            </w:r>
            <w:r>
              <w:t xml:space="preserve"> und v. a. in der festen Verbindung </w:t>
            </w:r>
            <w:r>
              <w:rPr>
                <w:b/>
                <w:bCs/>
              </w:rPr>
              <w:t>(seine) Glossen über jmdn./etwas machen</w:t>
            </w:r>
            <w:r>
              <w:t xml:space="preserve"> ‘jmdn./etwas spöttisch kommentieren, sich über jmdn./etwas lustig machen’ (s. Belege 1709, 1711, 1716, 1732, 1785, 1816, 1820, 1843, 1914–15), selten in </w:t>
            </w:r>
            <w:proofErr w:type="spellStart"/>
            <w:r>
              <w:t>Zss</w:t>
            </w:r>
            <w:proofErr w:type="spellEnd"/>
            <w:r>
              <w:t xml:space="preserve">. wie </w:t>
            </w:r>
            <w:r>
              <w:rPr>
                <w:b/>
                <w:bCs/>
              </w:rPr>
              <w:t>Glossenmacher/ -in; Philister-, Randglosse</w:t>
            </w:r>
            <w:r>
              <w:t>.</w:t>
            </w:r>
          </w:p>
        </w:tc>
        <w:tc>
          <w:tcPr>
            <w:tcW w:w="444" w:type="dxa"/>
            <w:tcBorders>
              <w:top w:val="nil"/>
              <w:bottom w:val="nil"/>
              <w:right w:val="nil"/>
            </w:tcBorders>
          </w:tcPr>
          <w:p w:rsidR="00B575B9" w:rsidRPr="00E63E23" w:rsidRDefault="00B575B9">
            <w:r w:rsidRPr="00E63E23">
              <w:t>2b</w:t>
            </w:r>
          </w:p>
        </w:tc>
        <w:tc>
          <w:tcPr>
            <w:tcW w:w="6202" w:type="dxa"/>
            <w:tcBorders>
              <w:top w:val="nil"/>
              <w:left w:val="nil"/>
              <w:bottom w:val="nil"/>
            </w:tcBorders>
          </w:tcPr>
          <w:p w:rsidR="00B575B9" w:rsidRPr="00E63E23" w:rsidRDefault="00B575B9">
            <w:r w:rsidRPr="00E63E23">
              <w:t>(kritisch) wertende Anmerkung; Randbemerkung</w:t>
            </w:r>
          </w:p>
        </w:tc>
      </w:tr>
      <w:tr w:rsidR="00B575B9" w:rsidTr="00AD56FF">
        <w:tc>
          <w:tcPr>
            <w:tcW w:w="7825" w:type="dxa"/>
            <w:tcBorders>
              <w:top w:val="nil"/>
              <w:bottom w:val="nil"/>
            </w:tcBorders>
          </w:tcPr>
          <w:p w:rsidR="00B575B9" w:rsidRPr="00F03829" w:rsidRDefault="009709B4" w:rsidP="003816F0">
            <w:pPr>
              <w:spacing w:after="120"/>
              <w:rPr>
                <w:rStyle w:val="gl"/>
                <w:color w:val="FFFFFF" w:themeColor="background1"/>
                <w:shd w:val="clear" w:color="auto" w:fill="8EAADB" w:themeFill="accent5" w:themeFillTint="99"/>
              </w:rPr>
            </w:pPr>
            <w:r>
              <w:rPr>
                <w:rStyle w:val="gl"/>
                <w:color w:val="FFFFFF" w:themeColor="background1"/>
                <w:shd w:val="clear" w:color="auto" w:fill="8EAADB" w:themeFill="accent5" w:themeFillTint="99"/>
              </w:rPr>
              <w:t>2c</w:t>
            </w:r>
            <w:r>
              <w:t xml:space="preserve"> Von daher seit Mitte 19. Jh. (und anfangs nicht immer sicher von b zu trennen) im journalistischen Bereich als Bezeichnung eines publizistischen Textes bzw. der entsprechenden Textsorte für ‘kurzer und pointierter, in einer (Tages-)Zeitung, </w:t>
            </w:r>
            <w:r>
              <w:lastRenderedPageBreak/>
              <w:t xml:space="preserve">Zeitschrift veröffentlichter, im Radio oder Fernsehen gesendeter journalistischer Meinungsbeitrag oft ironischen, satirischen oder polemischen Charakters zu einem aktuellen, welt-, lokalpolitischen oder kulturellen Ereignis, einem zeitgenössischen (Sprach-, Mode-, Kultur-) Phänomen’ (→ Aperçu, → Aphorismus, → Essay, → Feuilleton, → Kommentar, → Kolumne, → Pamphlet, → Satire), in Wendungen wie </w:t>
            </w:r>
            <w:r>
              <w:rPr>
                <w:b/>
                <w:bCs/>
              </w:rPr>
              <w:t xml:space="preserve">eine Glosse von 25 Zeilen, amüsante, witzige, satirische, bissige, vergnügliche, sprachkritische Glosse, leider keine Glosse sondern Realität, eine scharfe Glosse zu Umweltzerstörung und </w:t>
            </w:r>
            <w:proofErr w:type="spellStart"/>
            <w:r>
              <w:rPr>
                <w:b/>
                <w:bCs/>
              </w:rPr>
              <w:t>Globalismus</w:t>
            </w:r>
            <w:proofErr w:type="spellEnd"/>
            <w:r>
              <w:rPr>
                <w:b/>
                <w:bCs/>
              </w:rPr>
              <w:t>, für Empörung sorgte unlängst eine im „Spiegel“ veröffentlichte Glosse, in Form einer wöchentlichen Glosse angesprochene Sprach- oder Sachthemen</w:t>
            </w:r>
            <w:r>
              <w:t xml:space="preserve"> und </w:t>
            </w:r>
            <w:proofErr w:type="spellStart"/>
            <w:r>
              <w:t>Zss</w:t>
            </w:r>
            <w:proofErr w:type="spellEnd"/>
            <w:r>
              <w:t xml:space="preserve">. wie </w:t>
            </w:r>
            <w:r>
              <w:rPr>
                <w:b/>
                <w:bCs/>
              </w:rPr>
              <w:t>Fernseh-, Fußball-, Gesellschafts-, Helmut-Kohl-, Kultur-, Kurz-/Mini-, Literatur-, Medien-, Moral-, Mundart-, Radio-, Sonntags-, Tages-, taz-/FAZ-, Zeitungsglosse</w:t>
            </w:r>
            <w:r>
              <w:t xml:space="preserve">, speziell </w:t>
            </w:r>
            <w:r>
              <w:rPr>
                <w:b/>
                <w:bCs/>
              </w:rPr>
              <w:t>Sprachglosse</w:t>
            </w:r>
            <w:r>
              <w:t xml:space="preserve"> ‘sprachreflexiver/-kritischer Kommentar, Anmerkung zu Erscheinungen des zeitgenössischen Sprachgebrauchs (in Beziehung zu allgemeineren kulturellen und gesellschaftlichen Entwicklungen)’; </w:t>
            </w:r>
            <w:r>
              <w:rPr>
                <w:b/>
                <w:bCs/>
              </w:rPr>
              <w:t>Glossenautor/-schreiber/-verfasser, -genre, -spalte, -stoff, -thema, -titel</w:t>
            </w:r>
            <w:r>
              <w:t>.</w:t>
            </w:r>
          </w:p>
        </w:tc>
        <w:tc>
          <w:tcPr>
            <w:tcW w:w="444" w:type="dxa"/>
            <w:tcBorders>
              <w:top w:val="nil"/>
              <w:bottom w:val="nil"/>
              <w:right w:val="nil"/>
            </w:tcBorders>
          </w:tcPr>
          <w:p w:rsidR="00B575B9" w:rsidRPr="00E63E23" w:rsidRDefault="00B575B9">
            <w:r w:rsidRPr="00E63E23">
              <w:lastRenderedPageBreak/>
              <w:t>2c</w:t>
            </w:r>
          </w:p>
        </w:tc>
        <w:tc>
          <w:tcPr>
            <w:tcW w:w="6202" w:type="dxa"/>
            <w:tcBorders>
              <w:top w:val="nil"/>
              <w:left w:val="nil"/>
              <w:bottom w:val="nil"/>
            </w:tcBorders>
          </w:tcPr>
          <w:p w:rsidR="00B575B9" w:rsidRPr="00E63E23" w:rsidRDefault="00B575B9">
            <w:r w:rsidRPr="00E63E23">
              <w:t xml:space="preserve">journalistischer Meinungsbeitrag; </w:t>
            </w:r>
            <w:r w:rsidRPr="00E63E23">
              <w:rPr>
                <w:i/>
              </w:rPr>
              <w:t xml:space="preserve">in </w:t>
            </w:r>
            <w:proofErr w:type="spellStart"/>
            <w:r w:rsidRPr="00E63E23">
              <w:rPr>
                <w:i/>
              </w:rPr>
              <w:t>Zss</w:t>
            </w:r>
            <w:proofErr w:type="spellEnd"/>
            <w:r w:rsidRPr="00E63E23">
              <w:rPr>
                <w:i/>
              </w:rPr>
              <w:t xml:space="preserve">. wie </w:t>
            </w:r>
            <w:r w:rsidRPr="00E63E23">
              <w:t>Sprachglosse</w:t>
            </w:r>
          </w:p>
        </w:tc>
      </w:tr>
      <w:tr w:rsidR="00B575B9" w:rsidTr="00AD56FF">
        <w:tc>
          <w:tcPr>
            <w:tcW w:w="7825" w:type="dxa"/>
            <w:tcBorders>
              <w:top w:val="nil"/>
              <w:bottom w:val="nil"/>
            </w:tcBorders>
          </w:tcPr>
          <w:p w:rsidR="00B575B9" w:rsidRPr="00F03829" w:rsidRDefault="009709B4" w:rsidP="00BE6A3F">
            <w:pPr>
              <w:spacing w:after="120"/>
              <w:rPr>
                <w:rStyle w:val="gl"/>
                <w:color w:val="FFFFFF" w:themeColor="background1"/>
                <w:shd w:val="clear" w:color="auto" w:fill="8EAADB" w:themeFill="accent5" w:themeFillTint="99"/>
              </w:rPr>
            </w:pPr>
            <w:r>
              <w:rPr>
                <w:rStyle w:val="gl"/>
                <w:color w:val="FFFFFF" w:themeColor="background1"/>
                <w:shd w:val="clear" w:color="auto" w:fill="8EAADB" w:themeFill="accent5" w:themeFillTint="99"/>
              </w:rPr>
              <w:t>3</w:t>
            </w:r>
            <w:r>
              <w:t xml:space="preserve"> Seit späterem 18. Jh. das auf das gleiche Etymon zurückgehende, aus span. </w:t>
            </w:r>
            <w:proofErr w:type="spellStart"/>
            <w:r>
              <w:t>gleichbed</w:t>
            </w:r>
            <w:proofErr w:type="spellEnd"/>
            <w:r>
              <w:t xml:space="preserve">. </w:t>
            </w:r>
            <w:proofErr w:type="spellStart"/>
            <w:r>
              <w:rPr>
                <w:i/>
                <w:iCs/>
              </w:rPr>
              <w:t>glosas</w:t>
            </w:r>
            <w:proofErr w:type="spellEnd"/>
            <w:r>
              <w:t xml:space="preserve"> entlehnte Fachwort der Poetik als (historische) Bezeichnung für eine lyrische Form ‘Gedicht, dessen einzelne (vier) Strophen je eine Zeile eines (als Thema) zugrundeliegenden vierzeiligen Gedichtes aufgreifen und mit ihr enden’, in Wendungen wie </w:t>
            </w:r>
            <w:r>
              <w:rPr>
                <w:b/>
                <w:bCs/>
              </w:rPr>
              <w:t>Sonette und Glossen schreiben</w:t>
            </w:r>
            <w:r>
              <w:t xml:space="preserve"> und </w:t>
            </w:r>
            <w:proofErr w:type="spellStart"/>
            <w:r>
              <w:t>Zss</w:t>
            </w:r>
            <w:proofErr w:type="spellEnd"/>
            <w:r>
              <w:t xml:space="preserve">. wie </w:t>
            </w:r>
            <w:r>
              <w:rPr>
                <w:b/>
                <w:bCs/>
              </w:rPr>
              <w:t>Glossendichter</w:t>
            </w:r>
            <w:r>
              <w:t>.</w:t>
            </w:r>
          </w:p>
        </w:tc>
        <w:tc>
          <w:tcPr>
            <w:tcW w:w="444" w:type="dxa"/>
            <w:tcBorders>
              <w:top w:val="nil"/>
              <w:bottom w:val="nil"/>
              <w:right w:val="nil"/>
            </w:tcBorders>
          </w:tcPr>
          <w:p w:rsidR="00B575B9" w:rsidRPr="00E63E23" w:rsidRDefault="00B575B9">
            <w:r w:rsidRPr="00E63E23">
              <w:t>3</w:t>
            </w:r>
          </w:p>
        </w:tc>
        <w:tc>
          <w:tcPr>
            <w:tcW w:w="6202" w:type="dxa"/>
            <w:tcBorders>
              <w:top w:val="nil"/>
              <w:left w:val="nil"/>
              <w:bottom w:val="nil"/>
            </w:tcBorders>
          </w:tcPr>
          <w:p w:rsidR="00B575B9" w:rsidRPr="00E63E23" w:rsidRDefault="00B575B9">
            <w:r w:rsidRPr="00E63E23">
              <w:rPr>
                <w:i/>
                <w:shd w:val="clear" w:color="auto" w:fill="EDEDED" w:themeFill="accent3" w:themeFillTint="33"/>
              </w:rPr>
              <w:t>Poetik</w:t>
            </w:r>
            <w:r w:rsidRPr="00E63E23">
              <w:rPr>
                <w:i/>
              </w:rPr>
              <w:t xml:space="preserve"> Bezeichnung für eine Gedichtform</w:t>
            </w:r>
          </w:p>
        </w:tc>
      </w:tr>
      <w:tr w:rsidR="003B4803" w:rsidTr="00AD56FF">
        <w:tc>
          <w:tcPr>
            <w:tcW w:w="7825" w:type="dxa"/>
            <w:tcBorders>
              <w:top w:val="nil"/>
            </w:tcBorders>
          </w:tcPr>
          <w:p w:rsidR="003B4803" w:rsidRPr="000500A3" w:rsidRDefault="00736E5F">
            <w:pPr>
              <w:rPr>
                <w:rStyle w:val="gl"/>
                <w:color w:val="FFFFFF" w:themeColor="background1"/>
                <w:sz w:val="24"/>
                <w:szCs w:val="24"/>
                <w:shd w:val="clear" w:color="auto" w:fill="8EAADB" w:themeFill="accent5" w:themeFillTint="99"/>
              </w:rPr>
            </w:pPr>
            <w:r w:rsidRPr="000500A3">
              <w:rPr>
                <w:color w:val="808080" w:themeColor="background1" w:themeShade="80"/>
                <w:sz w:val="24"/>
                <w:szCs w:val="24"/>
              </w:rPr>
              <w:t>[Sublemmata]</w:t>
            </w:r>
          </w:p>
        </w:tc>
        <w:tc>
          <w:tcPr>
            <w:tcW w:w="444" w:type="dxa"/>
            <w:tcBorders>
              <w:top w:val="nil"/>
              <w:right w:val="nil"/>
            </w:tcBorders>
          </w:tcPr>
          <w:p w:rsidR="003B4803" w:rsidRPr="003B4803" w:rsidRDefault="003B4803"/>
        </w:tc>
        <w:tc>
          <w:tcPr>
            <w:tcW w:w="6202" w:type="dxa"/>
            <w:tcBorders>
              <w:top w:val="nil"/>
              <w:left w:val="nil"/>
            </w:tcBorders>
          </w:tcPr>
          <w:p w:rsidR="003B4803" w:rsidRPr="003B4803" w:rsidRDefault="003B4803"/>
        </w:tc>
      </w:tr>
    </w:tbl>
    <w:p w:rsidR="00696B4E" w:rsidRDefault="00696B4E">
      <w:pPr>
        <w:sectPr w:rsidR="00696B4E" w:rsidSect="00A61BFA">
          <w:pgSz w:w="16840" w:h="11907" w:code="9"/>
          <w:pgMar w:top="1418" w:right="1418" w:bottom="1134" w:left="1418" w:header="709" w:footer="709" w:gutter="0"/>
          <w:cols w:space="708"/>
          <w:docGrid w:linePitch="360"/>
        </w:sectPr>
      </w:pPr>
    </w:p>
    <w:p w:rsidR="00124FCA" w:rsidRPr="007874D0" w:rsidRDefault="00816805" w:rsidP="007874D0">
      <w:pPr>
        <w:rPr>
          <w:sz w:val="28"/>
          <w:szCs w:val="28"/>
        </w:rPr>
      </w:pPr>
      <w:r>
        <w:rPr>
          <w:sz w:val="28"/>
          <w:szCs w:val="28"/>
        </w:rPr>
        <w:lastRenderedPageBreak/>
        <w:t>Dokument 3</w:t>
      </w:r>
      <w:r w:rsidR="007874D0" w:rsidRPr="007874D0">
        <w:rPr>
          <w:sz w:val="28"/>
          <w:szCs w:val="28"/>
        </w:rPr>
        <w:t xml:space="preserve">: </w:t>
      </w:r>
      <w:r w:rsidR="00124FCA" w:rsidRPr="007874D0">
        <w:rPr>
          <w:sz w:val="28"/>
          <w:szCs w:val="28"/>
          <w:shd w:val="clear" w:color="auto" w:fill="FFFFFF" w:themeFill="background1"/>
        </w:rPr>
        <w:t xml:space="preserve">Bedeutungsansätze der unter </w:t>
      </w:r>
      <w:r w:rsidR="009610D3" w:rsidRPr="007874D0">
        <w:rPr>
          <w:sz w:val="28"/>
          <w:szCs w:val="28"/>
          <w:shd w:val="clear" w:color="auto" w:fill="FFFFFF" w:themeFill="background1"/>
        </w:rPr>
        <w:t>„Glosse“</w:t>
      </w:r>
      <w:r w:rsidR="00124FCA" w:rsidRPr="007874D0">
        <w:rPr>
          <w:sz w:val="28"/>
          <w:szCs w:val="28"/>
          <w:shd w:val="clear" w:color="auto" w:fill="FFFFFF" w:themeFill="background1"/>
        </w:rPr>
        <w:t xml:space="preserve"> angeführten Sublemmata </w:t>
      </w:r>
    </w:p>
    <w:p w:rsidR="00124FCA" w:rsidRDefault="00124FCA" w:rsidP="00124FCA">
      <w:pPr>
        <w:spacing w:after="0"/>
      </w:pPr>
    </w:p>
    <w:p w:rsidR="00124FCA" w:rsidRPr="00A315C9" w:rsidRDefault="00124FCA" w:rsidP="00124FCA">
      <w:pPr>
        <w:rPr>
          <w:bCs/>
          <w:sz w:val="25"/>
          <w:szCs w:val="25"/>
        </w:rPr>
      </w:pPr>
      <w:r w:rsidRPr="00A315C9">
        <w:rPr>
          <w:bCs/>
          <w:sz w:val="25"/>
          <w:szCs w:val="25"/>
        </w:rPr>
        <w:t>Sublemmata zu „Glosse“</w:t>
      </w:r>
    </w:p>
    <w:p w:rsidR="00124FCA" w:rsidRDefault="00124FCA" w:rsidP="00124FCA">
      <w:pPr>
        <w:spacing w:after="90"/>
      </w:pPr>
      <w:r>
        <w:t xml:space="preserve">glossieren, </w:t>
      </w:r>
      <w:proofErr w:type="spellStart"/>
      <w:r>
        <w:t>glossen</w:t>
      </w:r>
      <w:proofErr w:type="spellEnd"/>
      <w:r>
        <w:tab/>
      </w:r>
      <w:r w:rsidRPr="00EB641D">
        <w:rPr>
          <w:i/>
          <w:iCs/>
        </w:rPr>
        <w:t>zu 1a:</w:t>
      </w:r>
      <w:r>
        <w:t xml:space="preserve"> auslegen, erläutern; mit Anmerkungen versehen</w:t>
      </w:r>
    </w:p>
    <w:p w:rsidR="00124FCA" w:rsidRDefault="00124FCA" w:rsidP="00124FCA">
      <w:pPr>
        <w:spacing w:after="90"/>
      </w:pPr>
      <w:r>
        <w:tab/>
      </w:r>
      <w:r>
        <w:tab/>
      </w:r>
      <w:r>
        <w:tab/>
      </w:r>
      <w:r w:rsidRPr="00EB641D">
        <w:rPr>
          <w:i/>
          <w:iCs/>
        </w:rPr>
        <w:t>zu 1b:</w:t>
      </w:r>
      <w:r>
        <w:t xml:space="preserve"> falsch auslegen, verfälschen; sich herausreden</w:t>
      </w:r>
    </w:p>
    <w:p w:rsidR="00124FCA" w:rsidRDefault="00124FCA" w:rsidP="00124FCA">
      <w:pPr>
        <w:spacing w:after="90"/>
      </w:pPr>
      <w:r>
        <w:tab/>
      </w:r>
      <w:r>
        <w:tab/>
      </w:r>
      <w:r>
        <w:tab/>
      </w:r>
      <w:r w:rsidRPr="00EB641D">
        <w:rPr>
          <w:i/>
          <w:iCs/>
        </w:rPr>
        <w:t>zu 1c:</w:t>
      </w:r>
      <w:r>
        <w:t xml:space="preserve"> eine volkssprachige Übersetzung anbringen</w:t>
      </w:r>
    </w:p>
    <w:p w:rsidR="00124FCA" w:rsidRDefault="00124FCA" w:rsidP="00124FCA">
      <w:pPr>
        <w:spacing w:after="90"/>
      </w:pPr>
      <w:r>
        <w:tab/>
      </w:r>
      <w:r>
        <w:tab/>
      </w:r>
      <w:r>
        <w:tab/>
      </w:r>
      <w:r w:rsidRPr="00EB641D">
        <w:rPr>
          <w:i/>
          <w:iCs/>
        </w:rPr>
        <w:t>zu 2b:</w:t>
      </w:r>
      <w:r>
        <w:t xml:space="preserve"> (kritisch) anmerken, abfällige Bemerkungen machen</w:t>
      </w:r>
    </w:p>
    <w:p w:rsidR="00124FCA" w:rsidRDefault="00124FCA" w:rsidP="00124FCA">
      <w:pPr>
        <w:spacing w:after="90"/>
      </w:pPr>
      <w:r>
        <w:tab/>
      </w:r>
      <w:r>
        <w:tab/>
      </w:r>
      <w:r>
        <w:tab/>
      </w:r>
      <w:r w:rsidRPr="00EB641D">
        <w:rPr>
          <w:i/>
          <w:iCs/>
        </w:rPr>
        <w:t>zu 2c:</w:t>
      </w:r>
      <w:r>
        <w:t xml:space="preserve"> einen journalistischen Meinungsbeitrag verfassen</w:t>
      </w:r>
    </w:p>
    <w:p w:rsidR="00124FCA" w:rsidRDefault="00124FCA" w:rsidP="00124FCA">
      <w:pPr>
        <w:spacing w:after="120"/>
      </w:pPr>
      <w:r>
        <w:tab/>
      </w:r>
      <w:r>
        <w:tab/>
      </w:r>
      <w:r>
        <w:tab/>
      </w:r>
      <w:r w:rsidRPr="00EB641D">
        <w:rPr>
          <w:i/>
          <w:iCs/>
        </w:rPr>
        <w:t>zu 3:</w:t>
      </w:r>
      <w:r>
        <w:t xml:space="preserve"> ein Gedicht verfertigen</w:t>
      </w:r>
    </w:p>
    <w:p w:rsidR="00124FCA" w:rsidRDefault="00124FCA" w:rsidP="00124FCA">
      <w:pPr>
        <w:spacing w:after="120"/>
      </w:pPr>
      <w:proofErr w:type="spellStart"/>
      <w:r>
        <w:t>verglosen</w:t>
      </w:r>
      <w:proofErr w:type="spellEnd"/>
      <w:r>
        <w:tab/>
      </w:r>
      <w:r>
        <w:tab/>
      </w:r>
      <w:r w:rsidRPr="00EB641D">
        <w:rPr>
          <w:i/>
          <w:iCs/>
        </w:rPr>
        <w:t>zu 1a:</w:t>
      </w:r>
      <w:r>
        <w:t xml:space="preserve"> auslegen, erläutern; mit Anmerkungen versehen; verdeutschen</w:t>
      </w:r>
    </w:p>
    <w:p w:rsidR="00124FCA" w:rsidRDefault="00124FCA" w:rsidP="00124FCA">
      <w:pPr>
        <w:spacing w:after="120"/>
      </w:pPr>
      <w:r>
        <w:t>Glossierung</w:t>
      </w:r>
      <w:r>
        <w:tab/>
      </w:r>
      <w:r>
        <w:tab/>
      </w:r>
      <w:r>
        <w:rPr>
          <w:i/>
        </w:rPr>
        <w:t xml:space="preserve">Verbalsubstantiv </w:t>
      </w:r>
      <w:r w:rsidRPr="00EB641D">
        <w:rPr>
          <w:i/>
          <w:iCs/>
        </w:rPr>
        <w:t>zu 1a, 1b, 1c, 2b, 2c</w:t>
      </w:r>
    </w:p>
    <w:p w:rsidR="00124FCA" w:rsidRDefault="00124FCA" w:rsidP="00124FCA">
      <w:pPr>
        <w:spacing w:after="120"/>
      </w:pPr>
      <w:proofErr w:type="spellStart"/>
      <w:r>
        <w:t>Glossierer</w:t>
      </w:r>
      <w:proofErr w:type="spellEnd"/>
      <w:r>
        <w:t xml:space="preserve">, </w:t>
      </w:r>
      <w:proofErr w:type="spellStart"/>
      <w:r>
        <w:t>Glossiererin</w:t>
      </w:r>
      <w:proofErr w:type="spellEnd"/>
      <w:r>
        <w:tab/>
        <w:t xml:space="preserve"> </w:t>
      </w:r>
      <w:r>
        <w:rPr>
          <w:i/>
        </w:rPr>
        <w:t>vgl.</w:t>
      </w:r>
      <w:r>
        <w:t xml:space="preserve"> Glossator</w:t>
      </w:r>
    </w:p>
    <w:p w:rsidR="00124FCA" w:rsidRPr="00B4790D" w:rsidRDefault="00124FCA" w:rsidP="00124FCA">
      <w:pPr>
        <w:spacing w:after="120"/>
      </w:pPr>
      <w:r>
        <w:t>Postglossator</w:t>
      </w:r>
      <w:r>
        <w:tab/>
      </w:r>
      <w:r>
        <w:tab/>
      </w:r>
      <w:r>
        <w:rPr>
          <w:i/>
        </w:rPr>
        <w:t xml:space="preserve">zu 1a: </w:t>
      </w:r>
      <w:r>
        <w:t>Kommentator von Rechtstexten</w:t>
      </w:r>
    </w:p>
    <w:p w:rsidR="00124FCA" w:rsidRDefault="00124FCA" w:rsidP="00124FCA">
      <w:pPr>
        <w:spacing w:after="91"/>
        <w:ind w:left="2124" w:hanging="2124"/>
      </w:pPr>
      <w:r>
        <w:t>Glossator</w:t>
      </w:r>
      <w:r>
        <w:tab/>
      </w:r>
      <w:r>
        <w:rPr>
          <w:i/>
        </w:rPr>
        <w:t xml:space="preserve">zu 1a: </w:t>
      </w:r>
      <w:r>
        <w:t>Verfasser von erläuternden Erklärungen zu einem Text</w:t>
      </w:r>
    </w:p>
    <w:p w:rsidR="00124FCA" w:rsidRDefault="00124FCA" w:rsidP="00124FCA">
      <w:pPr>
        <w:spacing w:after="91"/>
        <w:ind w:left="1416" w:firstLine="708"/>
      </w:pPr>
      <w:r w:rsidRPr="00EB641D">
        <w:rPr>
          <w:i/>
          <w:iCs/>
        </w:rPr>
        <w:t>zu 1b:</w:t>
      </w:r>
      <w:r>
        <w:t xml:space="preserve"> Verfasser von falschen, verfälschenden Glossen</w:t>
      </w:r>
    </w:p>
    <w:p w:rsidR="00124FCA" w:rsidRPr="00FF13FB" w:rsidRDefault="00124FCA" w:rsidP="00124FCA">
      <w:pPr>
        <w:spacing w:after="91"/>
        <w:ind w:left="2124"/>
      </w:pPr>
      <w:r>
        <w:rPr>
          <w:i/>
        </w:rPr>
        <w:t xml:space="preserve">zu 1c: </w:t>
      </w:r>
      <w:r>
        <w:t>Verfasser von volkssprachigen Übersetzungen</w:t>
      </w:r>
    </w:p>
    <w:p w:rsidR="00124FCA" w:rsidRPr="00FF13FB" w:rsidRDefault="00124FCA" w:rsidP="00124FCA">
      <w:pPr>
        <w:spacing w:after="120"/>
      </w:pPr>
      <w:r>
        <w:tab/>
      </w:r>
      <w:r>
        <w:tab/>
      </w:r>
      <w:r>
        <w:tab/>
      </w:r>
      <w:r>
        <w:rPr>
          <w:i/>
        </w:rPr>
        <w:t xml:space="preserve">zu 2c: </w:t>
      </w:r>
      <w:r>
        <w:t>Verfasser von journalistischen Meinungsbeiträgen</w:t>
      </w:r>
    </w:p>
    <w:p w:rsidR="00124FCA" w:rsidRPr="00E23124" w:rsidRDefault="00124FCA" w:rsidP="00124FCA">
      <w:pPr>
        <w:spacing w:after="90"/>
      </w:pPr>
      <w:proofErr w:type="spellStart"/>
      <w:r>
        <w:t>glossatorisch</w:t>
      </w:r>
      <w:proofErr w:type="spellEnd"/>
      <w:r>
        <w:tab/>
      </w:r>
      <w:r>
        <w:tab/>
      </w:r>
      <w:r>
        <w:rPr>
          <w:i/>
        </w:rPr>
        <w:t xml:space="preserve">zu 1a: </w:t>
      </w:r>
      <w:r>
        <w:t>von einem Textausleger geschrieben</w:t>
      </w:r>
    </w:p>
    <w:p w:rsidR="00124FCA" w:rsidRPr="00E23124" w:rsidRDefault="00124FCA" w:rsidP="00124FCA">
      <w:pPr>
        <w:spacing w:after="120"/>
        <w:ind w:left="2126"/>
      </w:pPr>
      <w:r>
        <w:rPr>
          <w:i/>
        </w:rPr>
        <w:t xml:space="preserve">zu 2c: </w:t>
      </w:r>
      <w:r>
        <w:t>von einem Verfasser von journalistischen Meinungsbeiträgen geschrieben</w:t>
      </w:r>
    </w:p>
    <w:p w:rsidR="00124FCA" w:rsidRDefault="00124FCA" w:rsidP="00124FCA">
      <w:pPr>
        <w:spacing w:after="120"/>
        <w:rPr>
          <w:i/>
        </w:rPr>
      </w:pPr>
      <w:proofErr w:type="spellStart"/>
      <w:r>
        <w:t>Gloser</w:t>
      </w:r>
      <w:proofErr w:type="spellEnd"/>
      <w:r>
        <w:t xml:space="preserve">, </w:t>
      </w:r>
      <w:proofErr w:type="spellStart"/>
      <w:r>
        <w:t>Gloserer</w:t>
      </w:r>
      <w:proofErr w:type="spellEnd"/>
      <w:r>
        <w:tab/>
      </w:r>
      <w:r>
        <w:rPr>
          <w:i/>
        </w:rPr>
        <w:t xml:space="preserve">Personenbezeichnung </w:t>
      </w:r>
      <w:r w:rsidRPr="00EB641D">
        <w:rPr>
          <w:i/>
        </w:rPr>
        <w:t>zu 1a, 1b, 1c, 2b, 2c</w:t>
      </w:r>
    </w:p>
    <w:p w:rsidR="00124FCA" w:rsidRDefault="00124FCA" w:rsidP="00124FCA">
      <w:pPr>
        <w:spacing w:after="120"/>
        <w:rPr>
          <w:i/>
        </w:rPr>
      </w:pPr>
      <w:proofErr w:type="spellStart"/>
      <w:r>
        <w:t>Glossist</w:t>
      </w:r>
      <w:proofErr w:type="spellEnd"/>
      <w:r>
        <w:t xml:space="preserve">, </w:t>
      </w:r>
      <w:proofErr w:type="spellStart"/>
      <w:r>
        <w:t>Glossistin</w:t>
      </w:r>
      <w:proofErr w:type="spellEnd"/>
      <w:r>
        <w:tab/>
      </w:r>
      <w:r>
        <w:rPr>
          <w:i/>
        </w:rPr>
        <w:t>Personenbezeichnung zu 1a und 2c</w:t>
      </w:r>
    </w:p>
    <w:p w:rsidR="00124FCA" w:rsidRPr="00B8248F" w:rsidRDefault="00124FCA" w:rsidP="00124FCA">
      <w:pPr>
        <w:spacing w:after="120"/>
      </w:pPr>
      <w:proofErr w:type="spellStart"/>
      <w:r>
        <w:t>glossistisch</w:t>
      </w:r>
      <w:proofErr w:type="spellEnd"/>
      <w:r>
        <w:tab/>
      </w:r>
      <w:r>
        <w:tab/>
      </w:r>
      <w:r>
        <w:rPr>
          <w:i/>
        </w:rPr>
        <w:t xml:space="preserve">zu 2c: </w:t>
      </w:r>
      <w:r>
        <w:t>publizistisch kommentierend</w:t>
      </w:r>
    </w:p>
    <w:p w:rsidR="00124FCA" w:rsidRPr="00115E3E" w:rsidRDefault="00124FCA" w:rsidP="00124FCA">
      <w:pPr>
        <w:spacing w:after="90"/>
      </w:pPr>
      <w:proofErr w:type="spellStart"/>
      <w:r>
        <w:t>Glosseur</w:t>
      </w:r>
      <w:proofErr w:type="spellEnd"/>
      <w:r>
        <w:tab/>
      </w:r>
      <w:r>
        <w:tab/>
      </w:r>
      <w:r>
        <w:rPr>
          <w:i/>
        </w:rPr>
        <w:t xml:space="preserve">zu 2b: </w:t>
      </w:r>
      <w:r>
        <w:t>Kommentator eines Theaterstücks</w:t>
      </w:r>
    </w:p>
    <w:p w:rsidR="00124FCA" w:rsidRDefault="00124FCA" w:rsidP="00124FCA">
      <w:r>
        <w:tab/>
      </w:r>
      <w:r>
        <w:tab/>
      </w:r>
      <w:r>
        <w:tab/>
      </w:r>
      <w:r>
        <w:rPr>
          <w:i/>
        </w:rPr>
        <w:t xml:space="preserve">zu 2c: </w:t>
      </w:r>
      <w:r>
        <w:t>außenstehender Beobachter</w:t>
      </w:r>
    </w:p>
    <w:p w:rsidR="00124FCA" w:rsidRDefault="00124FCA" w:rsidP="00124FCA">
      <w:pPr>
        <w:spacing w:after="120"/>
      </w:pPr>
      <w:proofErr w:type="spellStart"/>
      <w:r>
        <w:t>Gloss</w:t>
      </w:r>
      <w:proofErr w:type="spellEnd"/>
      <w:r>
        <w:t xml:space="preserve">(o)-, </w:t>
      </w:r>
      <w:proofErr w:type="spellStart"/>
      <w:r>
        <w:t>gloss</w:t>
      </w:r>
      <w:proofErr w:type="spellEnd"/>
      <w:r>
        <w:t>(o)-</w:t>
      </w:r>
      <w:r>
        <w:tab/>
        <w:t>Zunge(n)-, Sprache(n)-; Wort-; Glossen-</w:t>
      </w:r>
    </w:p>
    <w:p w:rsidR="00124FCA" w:rsidRDefault="00124FCA" w:rsidP="00124FCA">
      <w:pPr>
        <w:spacing w:after="120"/>
      </w:pPr>
      <w:r>
        <w:t>Glossograph</w:t>
      </w:r>
      <w:r>
        <w:tab/>
      </w:r>
      <w:r>
        <w:tab/>
        <w:t>Glossensammler, Glossenschreiber</w:t>
      </w:r>
    </w:p>
    <w:p w:rsidR="00124FCA" w:rsidRDefault="00124FCA" w:rsidP="00124FCA">
      <w:pPr>
        <w:spacing w:after="90"/>
      </w:pPr>
      <w:r>
        <w:t>Glossographie</w:t>
      </w:r>
      <w:r>
        <w:tab/>
      </w:r>
      <w:r>
        <w:tab/>
        <w:t>zu 1a: Aufzeichnung, Erläuterung von Wörtern</w:t>
      </w:r>
    </w:p>
    <w:p w:rsidR="00124FCA" w:rsidRDefault="00124FCA" w:rsidP="00124FCA">
      <w:pPr>
        <w:rPr>
          <w:rFonts w:cstheme="minorHAnsi"/>
        </w:rPr>
      </w:pPr>
      <w:r>
        <w:tab/>
      </w:r>
      <w:r>
        <w:tab/>
      </w:r>
      <w:r>
        <w:tab/>
        <w:t>zu 1c: Aufzeichnung, Erläuterung von Wörtern</w:t>
      </w:r>
    </w:p>
    <w:p w:rsidR="00124FCA" w:rsidRDefault="00124FCA" w:rsidP="00124FCA">
      <w:pPr>
        <w:spacing w:after="120"/>
        <w:rPr>
          <w:rFonts w:cstheme="minorHAnsi"/>
        </w:rPr>
      </w:pPr>
      <w:r>
        <w:rPr>
          <w:rFonts w:cstheme="minorHAnsi"/>
        </w:rPr>
        <w:t>Glossolalie</w:t>
      </w:r>
      <w:r>
        <w:rPr>
          <w:rFonts w:cstheme="minorHAnsi"/>
        </w:rPr>
        <w:tab/>
      </w:r>
      <w:r>
        <w:rPr>
          <w:rFonts w:cstheme="minorHAnsi"/>
        </w:rPr>
        <w:tab/>
      </w:r>
      <w:r w:rsidR="009610D3">
        <w:rPr>
          <w:rFonts w:cstheme="minorHAnsi"/>
          <w:i/>
        </w:rPr>
        <w:t>Theologie</w:t>
      </w:r>
      <w:r>
        <w:rPr>
          <w:rFonts w:cstheme="minorHAnsi"/>
          <w:i/>
        </w:rPr>
        <w:t xml:space="preserve">: </w:t>
      </w:r>
      <w:r>
        <w:rPr>
          <w:rFonts w:cstheme="minorHAnsi"/>
        </w:rPr>
        <w:t>ekstatisches, auszudeutendes Sprechen</w:t>
      </w:r>
    </w:p>
    <w:p w:rsidR="00124FCA" w:rsidRDefault="00124FCA" w:rsidP="00124FCA">
      <w:pPr>
        <w:spacing w:after="120"/>
        <w:rPr>
          <w:rFonts w:cstheme="minorHAnsi"/>
        </w:rPr>
      </w:pPr>
      <w:proofErr w:type="spellStart"/>
      <w:r>
        <w:rPr>
          <w:rFonts w:cstheme="minorHAnsi"/>
        </w:rPr>
        <w:t>Glossodynie</w:t>
      </w:r>
      <w:proofErr w:type="spellEnd"/>
      <w:r>
        <w:rPr>
          <w:rFonts w:cstheme="minorHAnsi"/>
        </w:rPr>
        <w:tab/>
      </w:r>
      <w:r>
        <w:rPr>
          <w:rFonts w:cstheme="minorHAnsi"/>
        </w:rPr>
        <w:tab/>
      </w:r>
      <w:r>
        <w:rPr>
          <w:rFonts w:cstheme="minorHAnsi"/>
          <w:i/>
        </w:rPr>
        <w:t xml:space="preserve">Medizin: </w:t>
      </w:r>
      <w:r>
        <w:rPr>
          <w:rFonts w:cstheme="minorHAnsi"/>
        </w:rPr>
        <w:t>Schmerzen an der Zungenoberfläche</w:t>
      </w:r>
    </w:p>
    <w:p w:rsidR="00124FCA" w:rsidRDefault="00124FCA" w:rsidP="00124FCA">
      <w:pPr>
        <w:rPr>
          <w:rFonts w:cstheme="minorHAnsi"/>
        </w:rPr>
      </w:pPr>
      <w:proofErr w:type="spellStart"/>
      <w:r>
        <w:rPr>
          <w:rFonts w:cstheme="minorHAnsi"/>
        </w:rPr>
        <w:t>Glossoalgie</w:t>
      </w:r>
      <w:proofErr w:type="spellEnd"/>
      <w:r>
        <w:rPr>
          <w:rFonts w:cstheme="minorHAnsi"/>
        </w:rPr>
        <w:tab/>
      </w:r>
      <w:r>
        <w:rPr>
          <w:rFonts w:cstheme="minorHAnsi"/>
        </w:rPr>
        <w:tab/>
      </w:r>
      <w:r>
        <w:rPr>
          <w:rFonts w:cstheme="minorHAnsi"/>
          <w:i/>
        </w:rPr>
        <w:t xml:space="preserve">Medizin: </w:t>
      </w:r>
      <w:r>
        <w:rPr>
          <w:rFonts w:cstheme="minorHAnsi"/>
        </w:rPr>
        <w:t>Schmerzen an der Zungenoberfläche</w:t>
      </w:r>
    </w:p>
    <w:p w:rsidR="00DA3B18" w:rsidRDefault="00DA3B18" w:rsidP="00A61BFA">
      <w:pPr>
        <w:widowControl w:val="0"/>
      </w:pPr>
    </w:p>
    <w:sectPr w:rsidR="00DA3B18" w:rsidSect="00124FCA">
      <w:pgSz w:w="11907" w:h="16840"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EB" w:rsidRDefault="00E45EEB" w:rsidP="00DC1A96">
      <w:pPr>
        <w:spacing w:after="0" w:line="240" w:lineRule="auto"/>
      </w:pPr>
      <w:r>
        <w:separator/>
      </w:r>
    </w:p>
  </w:endnote>
  <w:endnote w:type="continuationSeparator" w:id="0">
    <w:p w:rsidR="00E45EEB" w:rsidRDefault="00E45EEB" w:rsidP="00DC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6" w:rsidRDefault="00DC1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6" w:rsidRDefault="00DC1A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6" w:rsidRDefault="00DC1A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EB" w:rsidRDefault="00E45EEB" w:rsidP="00DC1A96">
      <w:pPr>
        <w:spacing w:after="0" w:line="240" w:lineRule="auto"/>
      </w:pPr>
      <w:r>
        <w:separator/>
      </w:r>
    </w:p>
  </w:footnote>
  <w:footnote w:type="continuationSeparator" w:id="0">
    <w:p w:rsidR="00E45EEB" w:rsidRDefault="00E45EEB" w:rsidP="00DC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6" w:rsidRDefault="00DC1A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6" w:rsidRDefault="00DC1A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6" w:rsidRDefault="00DC1A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C0"/>
    <w:rsid w:val="00042447"/>
    <w:rsid w:val="000500A3"/>
    <w:rsid w:val="00060D6F"/>
    <w:rsid w:val="000664CE"/>
    <w:rsid w:val="000B46DF"/>
    <w:rsid w:val="00124FCA"/>
    <w:rsid w:val="00127FA0"/>
    <w:rsid w:val="001F4FDF"/>
    <w:rsid w:val="00230435"/>
    <w:rsid w:val="002F3CA4"/>
    <w:rsid w:val="0032776A"/>
    <w:rsid w:val="00380620"/>
    <w:rsid w:val="003816F0"/>
    <w:rsid w:val="003B4803"/>
    <w:rsid w:val="003D0374"/>
    <w:rsid w:val="004466BE"/>
    <w:rsid w:val="004908D7"/>
    <w:rsid w:val="004D309B"/>
    <w:rsid w:val="005543F0"/>
    <w:rsid w:val="00570F82"/>
    <w:rsid w:val="00574EC1"/>
    <w:rsid w:val="00602414"/>
    <w:rsid w:val="0060298E"/>
    <w:rsid w:val="00624B44"/>
    <w:rsid w:val="006613DE"/>
    <w:rsid w:val="00693A93"/>
    <w:rsid w:val="00696B4E"/>
    <w:rsid w:val="006B31E4"/>
    <w:rsid w:val="00702F1E"/>
    <w:rsid w:val="00736E5F"/>
    <w:rsid w:val="00742A0D"/>
    <w:rsid w:val="007874D0"/>
    <w:rsid w:val="007B0BAF"/>
    <w:rsid w:val="007C3645"/>
    <w:rsid w:val="00816805"/>
    <w:rsid w:val="0089156D"/>
    <w:rsid w:val="0089389D"/>
    <w:rsid w:val="008B18EB"/>
    <w:rsid w:val="0095493E"/>
    <w:rsid w:val="009610D3"/>
    <w:rsid w:val="009651C0"/>
    <w:rsid w:val="009709B4"/>
    <w:rsid w:val="0097233F"/>
    <w:rsid w:val="009B03A7"/>
    <w:rsid w:val="00A61BFA"/>
    <w:rsid w:val="00A71F2C"/>
    <w:rsid w:val="00A966F6"/>
    <w:rsid w:val="00AB7072"/>
    <w:rsid w:val="00AB761C"/>
    <w:rsid w:val="00AD56FF"/>
    <w:rsid w:val="00AE5947"/>
    <w:rsid w:val="00B34C41"/>
    <w:rsid w:val="00B575B9"/>
    <w:rsid w:val="00BE6A3F"/>
    <w:rsid w:val="00C22203"/>
    <w:rsid w:val="00C557BC"/>
    <w:rsid w:val="00C92616"/>
    <w:rsid w:val="00CC4A9A"/>
    <w:rsid w:val="00CC61D1"/>
    <w:rsid w:val="00CD1B30"/>
    <w:rsid w:val="00DA3B18"/>
    <w:rsid w:val="00DA5AA7"/>
    <w:rsid w:val="00DC1A96"/>
    <w:rsid w:val="00E329DB"/>
    <w:rsid w:val="00E45EEB"/>
    <w:rsid w:val="00E63E23"/>
    <w:rsid w:val="00E75612"/>
    <w:rsid w:val="00EF03CE"/>
    <w:rsid w:val="00F03829"/>
    <w:rsid w:val="00F07EB9"/>
    <w:rsid w:val="00F56763"/>
    <w:rsid w:val="00F81776"/>
    <w:rsid w:val="00FA4730"/>
    <w:rsid w:val="00FC7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6E04"/>
  <w15:chartTrackingRefBased/>
  <w15:docId w15:val="{24EA5753-B788-44EC-B904-B466D1FD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6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
    <w:name w:val="gr"/>
    <w:basedOn w:val="Absatz-Standardschriftart"/>
    <w:rsid w:val="009651C0"/>
  </w:style>
  <w:style w:type="character" w:customStyle="1" w:styleId="gl">
    <w:name w:val="gl"/>
    <w:basedOn w:val="Absatz-Standardschriftart"/>
    <w:rsid w:val="00F03829"/>
  </w:style>
  <w:style w:type="paragraph" w:styleId="Sprechblasentext">
    <w:name w:val="Balloon Text"/>
    <w:basedOn w:val="Standard"/>
    <w:link w:val="SprechblasentextZchn"/>
    <w:uiPriority w:val="99"/>
    <w:semiHidden/>
    <w:unhideWhenUsed/>
    <w:rsid w:val="00AD56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56FF"/>
    <w:rPr>
      <w:rFonts w:ascii="Segoe UI" w:hAnsi="Segoe UI" w:cs="Segoe UI"/>
      <w:sz w:val="18"/>
      <w:szCs w:val="18"/>
    </w:rPr>
  </w:style>
  <w:style w:type="character" w:styleId="Hyperlink">
    <w:name w:val="Hyperlink"/>
    <w:basedOn w:val="Absatz-Standardschriftart"/>
    <w:uiPriority w:val="99"/>
    <w:unhideWhenUsed/>
    <w:rsid w:val="00AD56FF"/>
    <w:rPr>
      <w:color w:val="0563C1" w:themeColor="hyperlink"/>
      <w:u w:val="single"/>
    </w:rPr>
  </w:style>
  <w:style w:type="paragraph" w:styleId="Kopfzeile">
    <w:name w:val="header"/>
    <w:basedOn w:val="Standard"/>
    <w:link w:val="KopfzeileZchn"/>
    <w:uiPriority w:val="99"/>
    <w:unhideWhenUsed/>
    <w:rsid w:val="00DC1A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1A96"/>
  </w:style>
  <w:style w:type="paragraph" w:styleId="Fuzeile">
    <w:name w:val="footer"/>
    <w:basedOn w:val="Standard"/>
    <w:link w:val="FuzeileZchn"/>
    <w:uiPriority w:val="99"/>
    <w:unhideWhenUsed/>
    <w:rsid w:val="00DC1A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1A96"/>
  </w:style>
  <w:style w:type="paragraph" w:styleId="KeinLeerraum">
    <w:name w:val="No Spacing"/>
    <w:link w:val="KeinLeerraumZchn"/>
    <w:uiPriority w:val="1"/>
    <w:qFormat/>
    <w:rsid w:val="00DC1A96"/>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DC1A96"/>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AE784-C0B9-4D69-975C-5880F478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11746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Kerstin Güthert</dc:creator>
  <cp:keywords/>
  <dc:description/>
  <cp:lastModifiedBy>Dr. Kerstin Güthert</cp:lastModifiedBy>
  <cp:revision>53</cp:revision>
  <cp:lastPrinted>2022-04-22T15:22:00Z</cp:lastPrinted>
  <dcterms:created xsi:type="dcterms:W3CDTF">2022-04-21T09:41:00Z</dcterms:created>
  <dcterms:modified xsi:type="dcterms:W3CDTF">2022-04-24T15:09:00Z</dcterms:modified>
</cp:coreProperties>
</file>